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7"/>
        <w:gridCol w:w="29"/>
        <w:gridCol w:w="455"/>
        <w:gridCol w:w="99"/>
        <w:gridCol w:w="489"/>
        <w:gridCol w:w="1984"/>
        <w:gridCol w:w="40"/>
        <w:gridCol w:w="414"/>
        <w:gridCol w:w="149"/>
        <w:gridCol w:w="112"/>
        <w:gridCol w:w="1327"/>
        <w:gridCol w:w="371"/>
        <w:gridCol w:w="39"/>
        <w:gridCol w:w="793"/>
        <w:gridCol w:w="222"/>
        <w:gridCol w:w="2162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</w:t>
            </w:r>
            <w:proofErr w:type="gramStart"/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proofErr w:type="gramEnd"/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5E22CE" w:rsidRPr="00FF3D20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E6741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اقتصاد كلي 1</w:t>
            </w:r>
          </w:p>
        </w:tc>
      </w:tr>
      <w:tr w:rsidR="00C34721" w:rsidRPr="0050480E" w:rsidTr="00280E0B">
        <w:trPr>
          <w:trHeight w:val="143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630" w:type="dxa"/>
            <w:gridSpan w:val="7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1849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3177" w:type="dxa"/>
            <w:gridSpan w:val="3"/>
            <w:shd w:val="clear" w:color="auto" w:fill="auto"/>
            <w:vAlign w:val="center"/>
          </w:tcPr>
          <w:p w:rsidR="00C34721" w:rsidRPr="00FF3D20" w:rsidRDefault="00280E0B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علوم تجارية</w:t>
            </w:r>
          </w:p>
        </w:tc>
      </w:tr>
      <w:tr w:rsidR="00C34721" w:rsidRPr="0050480E" w:rsidTr="00280E0B">
        <w:trPr>
          <w:trHeight w:val="143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630" w:type="dxa"/>
            <w:gridSpan w:val="7"/>
            <w:shd w:val="clear" w:color="auto" w:fill="auto"/>
            <w:vAlign w:val="center"/>
          </w:tcPr>
          <w:p w:rsidR="00C34721" w:rsidRPr="00FF3D20" w:rsidRDefault="00280E0B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تسويق</w:t>
            </w:r>
          </w:p>
        </w:tc>
        <w:tc>
          <w:tcPr>
            <w:tcW w:w="1849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3177" w:type="dxa"/>
            <w:gridSpan w:val="3"/>
            <w:shd w:val="clear" w:color="auto" w:fill="auto"/>
            <w:vAlign w:val="center"/>
          </w:tcPr>
          <w:p w:rsidR="00C34721" w:rsidRPr="00FF3D20" w:rsidRDefault="00280E0B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سنة ثانية</w:t>
            </w:r>
          </w:p>
        </w:tc>
      </w:tr>
      <w:tr w:rsidR="00CB2779" w:rsidRPr="0050480E" w:rsidTr="00280E0B">
        <w:trPr>
          <w:trHeight w:val="143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630" w:type="dxa"/>
            <w:gridSpan w:val="7"/>
            <w:shd w:val="clear" w:color="auto" w:fill="auto"/>
            <w:vAlign w:val="center"/>
          </w:tcPr>
          <w:p w:rsidR="00CB2779" w:rsidRPr="00C34721" w:rsidRDefault="00280E0B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الاول</w:t>
            </w:r>
          </w:p>
        </w:tc>
        <w:tc>
          <w:tcPr>
            <w:tcW w:w="1849" w:type="dxa"/>
            <w:gridSpan w:val="4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3177" w:type="dxa"/>
            <w:gridSpan w:val="3"/>
            <w:shd w:val="clear" w:color="auto" w:fill="auto"/>
            <w:vAlign w:val="center"/>
          </w:tcPr>
          <w:p w:rsidR="00CB2779" w:rsidRPr="00FF3D20" w:rsidRDefault="00280E0B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2023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280E0B">
        <w:trPr>
          <w:trHeight w:val="143"/>
          <w:jc w:val="center"/>
        </w:trPr>
        <w:tc>
          <w:tcPr>
            <w:tcW w:w="2300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C34721" w:rsidRPr="00E82A76" w:rsidRDefault="00280E0B" w:rsidP="00280E0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80E0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اسم المادة: </w:t>
            </w:r>
            <w:r w:rsidRPr="00280E0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اقتصاد كلي 1</w:t>
            </w:r>
          </w:p>
        </w:tc>
        <w:tc>
          <w:tcPr>
            <w:tcW w:w="2412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3177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280E0B">
        <w:trPr>
          <w:trHeight w:val="143"/>
          <w:jc w:val="center"/>
        </w:trPr>
        <w:tc>
          <w:tcPr>
            <w:tcW w:w="2300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C34721" w:rsidRPr="0050480E" w:rsidRDefault="00280E0B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06</w:t>
            </w:r>
          </w:p>
        </w:tc>
        <w:tc>
          <w:tcPr>
            <w:tcW w:w="2412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3177" w:type="dxa"/>
            <w:gridSpan w:val="3"/>
            <w:shd w:val="clear" w:color="auto" w:fill="auto"/>
          </w:tcPr>
          <w:p w:rsidR="00C34721" w:rsidRPr="0050480E" w:rsidRDefault="00280E0B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</w:tr>
      <w:tr w:rsidR="009D771D" w:rsidRPr="0050480E" w:rsidTr="00280E0B">
        <w:trPr>
          <w:trHeight w:val="143"/>
          <w:jc w:val="center"/>
        </w:trPr>
        <w:tc>
          <w:tcPr>
            <w:tcW w:w="2300" w:type="dxa"/>
            <w:gridSpan w:val="4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9D771D" w:rsidRPr="0050480E" w:rsidRDefault="00280E0B" w:rsidP="00280E0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  <w:rtl/>
              </w:rPr>
              <w:t xml:space="preserve">لمدة: 1.5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  <w:rtl/>
              </w:rPr>
              <w:t>سا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  <w:rtl/>
              </w:rPr>
              <w:t xml:space="preserve"> أسبوعياً </w:t>
            </w:r>
          </w:p>
        </w:tc>
        <w:tc>
          <w:tcPr>
            <w:tcW w:w="2412" w:type="dxa"/>
            <w:gridSpan w:val="6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المحاضرة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3177" w:type="dxa"/>
            <w:gridSpan w:val="3"/>
            <w:shd w:val="clear" w:color="auto" w:fill="auto"/>
          </w:tcPr>
          <w:p w:rsidR="009D771D" w:rsidRPr="0050480E" w:rsidRDefault="00280E0B" w:rsidP="00280E0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  <w:rtl/>
              </w:rPr>
              <w:t xml:space="preserve">(محاضرة) </w:t>
            </w:r>
            <w:proofErr w:type="gramStart"/>
            <w:r>
              <w:rPr>
                <w:rFonts w:ascii="Arial" w:hAnsi="Arial" w:cs="Arial"/>
                <w:color w:val="333333"/>
                <w:shd w:val="clear" w:color="auto" w:fill="FFFFFF"/>
                <w:rtl/>
              </w:rPr>
              <w:t xml:space="preserve">+  </w:t>
            </w:r>
            <w:r>
              <w:rPr>
                <w:rFonts w:ascii="Arial" w:hAnsi="Arial" w:cs="Arial" w:hint="cs"/>
                <w:color w:val="333333"/>
                <w:shd w:val="clear" w:color="auto" w:fill="FFFFFF"/>
                <w:rtl/>
              </w:rPr>
              <w:t>1</w:t>
            </w:r>
            <w:proofErr w:type="gramEnd"/>
            <w:r>
              <w:rPr>
                <w:rFonts w:ascii="Arial" w:hAnsi="Arial" w:cs="Arial" w:hint="cs"/>
                <w:color w:val="333333"/>
                <w:shd w:val="clear" w:color="auto" w:fill="FFFFFF"/>
                <w:rtl/>
              </w:rPr>
              <w:t>,5</w:t>
            </w:r>
            <w:r>
              <w:rPr>
                <w:rFonts w:ascii="Arial" w:hAnsi="Arial" w:cs="Arial"/>
                <w:color w:val="333333"/>
                <w:shd w:val="clear" w:color="auto" w:fill="FFFFFF"/>
                <w:rtl/>
              </w:rPr>
              <w:t>سا (أعمال موجهة) [14 أسبوع]</w:t>
            </w:r>
          </w:p>
        </w:tc>
      </w:tr>
      <w:tr w:rsidR="00C34721" w:rsidRPr="0050480E" w:rsidTr="00280E0B">
        <w:trPr>
          <w:trHeight w:val="143"/>
          <w:jc w:val="center"/>
        </w:trPr>
        <w:tc>
          <w:tcPr>
            <w:tcW w:w="2300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تط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 الأسبوع )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12" w:type="dxa"/>
            <w:gridSpan w:val="6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عدد الساعات في الأسبوع )</w:t>
            </w:r>
          </w:p>
        </w:tc>
        <w:tc>
          <w:tcPr>
            <w:tcW w:w="3177" w:type="dxa"/>
            <w:gridSpan w:val="3"/>
            <w:shd w:val="clear" w:color="auto" w:fill="auto"/>
          </w:tcPr>
          <w:p w:rsidR="00C34721" w:rsidRPr="0050480E" w:rsidRDefault="00280E0B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  <w:rtl/>
              </w:rPr>
              <w:t>1.5</w:t>
            </w:r>
            <w:r>
              <w:rPr>
                <w:rFonts w:ascii="Arial" w:hAnsi="Arial" w:cs="Arial" w:hint="cs"/>
                <w:color w:val="333333"/>
                <w:shd w:val="clear" w:color="auto" w:fill="FFFFFF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333333"/>
                <w:shd w:val="clear" w:color="auto" w:fill="FFFFFF"/>
                <w:rtl/>
              </w:rPr>
              <w:t>سا</w:t>
            </w:r>
            <w:proofErr w:type="spellEnd"/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280E0B">
        <w:trPr>
          <w:trHeight w:val="143"/>
          <w:jc w:val="center"/>
        </w:trPr>
        <w:tc>
          <w:tcPr>
            <w:tcW w:w="2300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C34721" w:rsidRPr="0050480E" w:rsidRDefault="00280E0B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فاتح مناع</w:t>
            </w:r>
          </w:p>
        </w:tc>
        <w:tc>
          <w:tcPr>
            <w:tcW w:w="2412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3177" w:type="dxa"/>
            <w:gridSpan w:val="3"/>
            <w:shd w:val="clear" w:color="auto" w:fill="auto"/>
          </w:tcPr>
          <w:p w:rsidR="00C34721" w:rsidRPr="0050480E" w:rsidRDefault="00280E0B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استاذ محاضر قسم أ</w:t>
            </w:r>
          </w:p>
        </w:tc>
      </w:tr>
      <w:tr w:rsidR="00C34721" w:rsidRPr="0050480E" w:rsidTr="00280E0B">
        <w:trPr>
          <w:trHeight w:val="143"/>
          <w:jc w:val="center"/>
        </w:trPr>
        <w:tc>
          <w:tcPr>
            <w:tcW w:w="2300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C34721" w:rsidRPr="0050480E" w:rsidRDefault="00280E0B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09</w:t>
            </w:r>
          </w:p>
        </w:tc>
        <w:tc>
          <w:tcPr>
            <w:tcW w:w="2412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177" w:type="dxa"/>
            <w:gridSpan w:val="3"/>
            <w:shd w:val="clear" w:color="auto" w:fill="auto"/>
          </w:tcPr>
          <w:p w:rsidR="00C34721" w:rsidRPr="00280E0B" w:rsidRDefault="00280E0B" w:rsidP="00280E0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f.menaa@center.univ.mila.dz</w:t>
            </w:r>
          </w:p>
        </w:tc>
      </w:tr>
      <w:tr w:rsidR="00C34721" w:rsidRPr="0050480E" w:rsidTr="00280E0B">
        <w:trPr>
          <w:trHeight w:val="143"/>
          <w:jc w:val="center"/>
        </w:trPr>
        <w:tc>
          <w:tcPr>
            <w:tcW w:w="2300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13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  <w:tc>
          <w:tcPr>
            <w:tcW w:w="2412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3177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280E0B">
        <w:trPr>
          <w:trHeight w:val="1489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685" w:type="dxa"/>
            <w:gridSpan w:val="15"/>
            <w:shd w:val="clear" w:color="auto" w:fill="auto"/>
            <w:vAlign w:val="center"/>
          </w:tcPr>
          <w:p w:rsidR="00D84EAE" w:rsidRDefault="00494C16" w:rsidP="007B4CA9">
            <w:pPr>
              <w:bidi/>
              <w:spacing w:after="0"/>
              <w:rPr>
                <w:rFonts w:ascii="Sakkal Majalla" w:hAnsi="Sakkal Majalla" w:cs="Sakkal Majalla" w:hint="cs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مدخل للاقتصاد</w:t>
            </w:r>
          </w:p>
          <w:p w:rsidR="00494C16" w:rsidRDefault="00494C16" w:rsidP="00494C16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الاحصاء الوصفي</w:t>
            </w:r>
          </w:p>
          <w:p w:rsidR="00494C16" w:rsidRPr="00FF1847" w:rsidRDefault="00494C16" w:rsidP="00494C16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الاقتصاد الجزئي</w:t>
            </w:r>
          </w:p>
        </w:tc>
      </w:tr>
      <w:tr w:rsidR="00D84EAE" w:rsidRPr="0050480E" w:rsidTr="00280E0B">
        <w:trPr>
          <w:trHeight w:val="2098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85" w:type="dxa"/>
            <w:gridSpan w:val="15"/>
            <w:shd w:val="clear" w:color="auto" w:fill="auto"/>
            <w:vAlign w:val="center"/>
          </w:tcPr>
          <w:p w:rsidR="00D84EAE" w:rsidRPr="00FF1847" w:rsidRDefault="00494C16" w:rsidP="007A422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معرفة وتحديد وتحليل المتغيرات الاقتصادية الكلية</w:t>
            </w:r>
          </w:p>
        </w:tc>
      </w:tr>
      <w:tr w:rsidR="00D84EAE" w:rsidRPr="0050480E" w:rsidTr="00280E0B">
        <w:trPr>
          <w:trHeight w:val="143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85" w:type="dxa"/>
            <w:gridSpan w:val="15"/>
            <w:shd w:val="clear" w:color="auto" w:fill="auto"/>
            <w:vAlign w:val="center"/>
          </w:tcPr>
          <w:p w:rsidR="005F1E9A" w:rsidRPr="00C754E5" w:rsidRDefault="00D84EAE" w:rsidP="005F1E9A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bookmarkStart w:id="0" w:name="_GoBack"/>
            <w:bookmarkEnd w:id="0"/>
          </w:p>
          <w:p w:rsidR="00D84EAE" w:rsidRPr="00C754E5" w:rsidRDefault="00D84EAE" w:rsidP="007A4220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D84EAE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8201" w:type="dxa"/>
            <w:gridSpan w:val="13"/>
            <w:shd w:val="clear" w:color="auto" w:fill="auto"/>
            <w:vAlign w:val="center"/>
          </w:tcPr>
          <w:p w:rsidR="00D84EAE" w:rsidRPr="0058217A" w:rsidRDefault="00280E0B" w:rsidP="007A4220">
            <w:pPr>
              <w:bidi/>
              <w:spacing w:after="0" w:line="240" w:lineRule="auto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مدخل الى التحليل الاقتصادي الكلي</w:t>
            </w:r>
          </w:p>
        </w:tc>
      </w:tr>
      <w:tr w:rsidR="00D84EAE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8201" w:type="dxa"/>
            <w:gridSpan w:val="13"/>
            <w:shd w:val="clear" w:color="auto" w:fill="auto"/>
            <w:vAlign w:val="center"/>
          </w:tcPr>
          <w:p w:rsidR="00D84EAE" w:rsidRPr="0058217A" w:rsidRDefault="00280E0B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قياس النشاط الاقتصادي</w:t>
            </w: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8201" w:type="dxa"/>
            <w:gridSpan w:val="1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التحليل الاقتصادي الكلاسيكي</w:t>
            </w: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8201" w:type="dxa"/>
            <w:gridSpan w:val="1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التحليل الاقتصادي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الكينزي</w:t>
            </w:r>
            <w:proofErr w:type="spellEnd"/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8201" w:type="dxa"/>
            <w:gridSpan w:val="1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  <w:proofErr w:type="gramEnd"/>
          </w:p>
        </w:tc>
        <w:tc>
          <w:tcPr>
            <w:tcW w:w="8201" w:type="dxa"/>
            <w:gridSpan w:val="1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8201" w:type="dxa"/>
            <w:gridSpan w:val="1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8201" w:type="dxa"/>
            <w:gridSpan w:val="1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8201" w:type="dxa"/>
            <w:gridSpan w:val="1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8201" w:type="dxa"/>
            <w:gridSpan w:val="1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F40055" w:rsidRPr="0050480E" w:rsidRDefault="00F40055" w:rsidP="00F4005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287" w:type="dxa"/>
            <w:gridSpan w:val="7"/>
            <w:shd w:val="clear" w:color="auto" w:fill="auto"/>
          </w:tcPr>
          <w:p w:rsidR="00F40055" w:rsidRPr="0050480E" w:rsidRDefault="00F40055" w:rsidP="00F40055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914" w:type="dxa"/>
            <w:gridSpan w:val="6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287" w:type="dxa"/>
            <w:gridSpan w:val="7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327" w:type="dxa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203" w:type="dxa"/>
            <w:gridSpan w:val="3"/>
            <w:shd w:val="clear" w:color="auto" w:fill="auto"/>
            <w:vAlign w:val="center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384" w:type="dxa"/>
            <w:gridSpan w:val="2"/>
            <w:shd w:val="clear" w:color="auto" w:fill="auto"/>
            <w:vAlign w:val="center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5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5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203" w:type="dxa"/>
            <w:gridSpan w:val="3"/>
            <w:vMerge w:val="restart"/>
            <w:shd w:val="clear" w:color="auto" w:fill="auto"/>
            <w:vAlign w:val="center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384" w:type="dxa"/>
            <w:gridSpan w:val="2"/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 موجهة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البحث :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إعداد/إلقاء)     </w:t>
            </w:r>
          </w:p>
        </w:tc>
        <w:tc>
          <w:tcPr>
            <w:tcW w:w="25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3" w:type="dxa"/>
            <w:gridSpan w:val="3"/>
            <w:vMerge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4" w:type="dxa"/>
            <w:gridSpan w:val="2"/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5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40055" w:rsidRPr="0050480E" w:rsidRDefault="00F40055" w:rsidP="00F40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F40055" w:rsidRPr="0050480E" w:rsidRDefault="00F40055" w:rsidP="00F40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3" w:type="dxa"/>
            <w:gridSpan w:val="3"/>
            <w:vMerge/>
            <w:shd w:val="clear" w:color="auto" w:fill="auto"/>
          </w:tcPr>
          <w:p w:rsidR="00F40055" w:rsidRPr="0050480E" w:rsidRDefault="00F40055" w:rsidP="00F40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4" w:type="dxa"/>
            <w:gridSpan w:val="2"/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5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3" w:type="dxa"/>
            <w:gridSpan w:val="3"/>
            <w:vMerge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4" w:type="dxa"/>
            <w:gridSpan w:val="2"/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فريق)   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5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3" w:type="dxa"/>
            <w:gridSpan w:val="3"/>
            <w:vMerge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4" w:type="dxa"/>
            <w:gridSpan w:val="2"/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5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3" w:type="dxa"/>
            <w:gridSpan w:val="3"/>
            <w:vMerge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4" w:type="dxa"/>
            <w:gridSpan w:val="2"/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المواظبة (الحضور /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الغياب )</w:t>
            </w:r>
            <w:proofErr w:type="gramEnd"/>
          </w:p>
        </w:tc>
        <w:tc>
          <w:tcPr>
            <w:tcW w:w="25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3" w:type="dxa"/>
            <w:gridSpan w:val="3"/>
            <w:vMerge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4" w:type="dxa"/>
            <w:gridSpan w:val="2"/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المشاركة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)               </w:t>
            </w:r>
          </w:p>
        </w:tc>
        <w:tc>
          <w:tcPr>
            <w:tcW w:w="25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40055" w:rsidRPr="0050480E" w:rsidRDefault="00F40055" w:rsidP="00F40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F40055" w:rsidRPr="0050480E" w:rsidRDefault="00F40055" w:rsidP="00F40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03" w:type="dxa"/>
            <w:gridSpan w:val="3"/>
            <w:vMerge/>
            <w:shd w:val="clear" w:color="auto" w:fill="auto"/>
          </w:tcPr>
          <w:p w:rsidR="00F40055" w:rsidRPr="0050480E" w:rsidRDefault="00F40055" w:rsidP="00F40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4" w:type="dxa"/>
            <w:gridSpan w:val="2"/>
            <w:shd w:val="clear" w:color="auto" w:fill="auto"/>
            <w:vAlign w:val="center"/>
          </w:tcPr>
          <w:p w:rsidR="00F40055" w:rsidRPr="00AE6434" w:rsidRDefault="00F40055" w:rsidP="00F400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F40055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F40055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تدرس المادة في شكل محاضرات وأعمال موجهة/تطبيقية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و طبيعة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تقييمها امتحان و مراقبة مستمرة يقاس معدل المادة بالوزن الترجيحي للمحاضرة والأعمال الموجهة</w:t>
            </w:r>
            <w:r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F40055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F40055" w:rsidRPr="00A91ADB" w:rsidRDefault="00F40055" w:rsidP="00F40055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F40055" w:rsidRPr="00A91ADB" w:rsidRDefault="00F40055" w:rsidP="00F40055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F40055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F40055" w:rsidRPr="00A91ADB" w:rsidRDefault="00F40055" w:rsidP="00F40055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F40055" w:rsidRPr="00A91ADB" w:rsidRDefault="00F40055" w:rsidP="00F40055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F40055" w:rsidRPr="00FF3D20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F40055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F40055" w:rsidRPr="0050480E" w:rsidRDefault="00F40055" w:rsidP="00F4005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F40055" w:rsidRPr="0050480E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به :</w:t>
            </w:r>
            <w:proofErr w:type="gramEnd"/>
          </w:p>
        </w:tc>
      </w:tr>
      <w:tr w:rsidR="00F40055" w:rsidRPr="0050480E" w:rsidTr="00280E0B">
        <w:trPr>
          <w:trHeight w:val="143"/>
          <w:jc w:val="center"/>
        </w:trPr>
        <w:tc>
          <w:tcPr>
            <w:tcW w:w="2201" w:type="dxa"/>
            <w:gridSpan w:val="3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287" w:type="dxa"/>
            <w:gridSpan w:val="7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914" w:type="dxa"/>
            <w:gridSpan w:val="6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دار النشر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 السنة</w:t>
            </w:r>
            <w:proofErr w:type="gramEnd"/>
          </w:p>
        </w:tc>
      </w:tr>
      <w:tr w:rsidR="00F40055" w:rsidRPr="0050480E" w:rsidTr="00280E0B">
        <w:trPr>
          <w:trHeight w:val="270"/>
          <w:jc w:val="center"/>
        </w:trPr>
        <w:tc>
          <w:tcPr>
            <w:tcW w:w="22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40055" w:rsidRPr="00F878F4" w:rsidRDefault="00F40055" w:rsidP="00F40055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مبادئ التحليل الاقتصادي الكلي</w:t>
            </w:r>
          </w:p>
        </w:tc>
        <w:tc>
          <w:tcPr>
            <w:tcW w:w="32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40055" w:rsidRPr="00F878F4" w:rsidRDefault="00F40055" w:rsidP="00F4005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تومي صالح</w:t>
            </w:r>
          </w:p>
        </w:tc>
        <w:tc>
          <w:tcPr>
            <w:tcW w:w="49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40055" w:rsidRPr="00F878F4" w:rsidRDefault="00F40055" w:rsidP="00F40055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دار الشهامة للنشر بدون سنة نشر</w:t>
            </w:r>
          </w:p>
        </w:tc>
      </w:tr>
      <w:tr w:rsidR="00F40055" w:rsidRPr="0050480E" w:rsidTr="00280E0B">
        <w:trPr>
          <w:trHeight w:val="237"/>
          <w:jc w:val="center"/>
        </w:trPr>
        <w:tc>
          <w:tcPr>
            <w:tcW w:w="2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0055" w:rsidRPr="00F878F4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النظريات النقدية</w:t>
            </w:r>
          </w:p>
        </w:tc>
        <w:tc>
          <w:tcPr>
            <w:tcW w:w="32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0055" w:rsidRPr="00F878F4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مروان </w:t>
            </w:r>
            <w:proofErr w:type="spell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عطون</w:t>
            </w:r>
            <w:proofErr w:type="spellEnd"/>
          </w:p>
        </w:tc>
        <w:tc>
          <w:tcPr>
            <w:tcW w:w="49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0055" w:rsidRPr="00F878F4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دار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البعث  1989</w:t>
            </w:r>
            <w:proofErr w:type="gramEnd"/>
          </w:p>
        </w:tc>
      </w:tr>
      <w:tr w:rsidR="00F40055" w:rsidRPr="0050480E" w:rsidTr="00280E0B">
        <w:trPr>
          <w:trHeight w:val="270"/>
          <w:jc w:val="center"/>
        </w:trPr>
        <w:tc>
          <w:tcPr>
            <w:tcW w:w="22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0055" w:rsidRPr="00F878F4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0055" w:rsidRPr="00F878F4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0055" w:rsidRPr="00F878F4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F40055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F40055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F40055" w:rsidRPr="005F1E9A" w:rsidRDefault="00F40055" w:rsidP="00F4005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F40055" w:rsidRDefault="00F40055" w:rsidP="00F40055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F40055" w:rsidRPr="005F1E9A" w:rsidRDefault="00F40055" w:rsidP="00F40055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F40055" w:rsidRPr="007B4CA9" w:rsidRDefault="00F40055" w:rsidP="00F4005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F40055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F40055" w:rsidRPr="0050480E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F40055" w:rsidRPr="0050480E" w:rsidTr="00280E0B">
        <w:trPr>
          <w:trHeight w:val="464"/>
          <w:jc w:val="center"/>
        </w:trPr>
        <w:tc>
          <w:tcPr>
            <w:tcW w:w="2201" w:type="dxa"/>
            <w:gridSpan w:val="3"/>
            <w:shd w:val="clear" w:color="auto" w:fill="auto"/>
          </w:tcPr>
          <w:p w:rsidR="00F40055" w:rsidRPr="0050480E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50480E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2162" w:type="dxa"/>
            <w:shd w:val="clear" w:color="auto" w:fill="auto"/>
          </w:tcPr>
          <w:p w:rsidR="00F40055" w:rsidRPr="0050480E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F40055" w:rsidRPr="0050480E" w:rsidTr="00280E0B">
        <w:trPr>
          <w:trHeight w:val="464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  <w:proofErr w:type="gramEnd"/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F40055" w:rsidP="00F40055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التحليل الاقتصادي </w:t>
            </w:r>
            <w:proofErr w:type="spell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ومنهجيته</w:t>
            </w:r>
            <w:proofErr w:type="spellEnd"/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464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بناء النماذج الاقتصادية الكلية</w:t>
            </w:r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464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F40055" w:rsidP="00F40055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السياسة </w:t>
            </w:r>
            <w:proofErr w:type="spell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الاقتصادبة</w:t>
            </w:r>
            <w:proofErr w:type="spell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وادواتها</w:t>
            </w:r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464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F40055" w:rsidP="00F40055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طرق قياس النشاط الاقتصادي</w:t>
            </w:r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464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F40055" w:rsidP="00F4005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التدفق الدائري للدخل</w:t>
            </w:r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464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  <w:proofErr w:type="gramEnd"/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F40055" w:rsidP="00F40055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مدخل للحسابات الوطنية</w:t>
            </w:r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445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  <w:proofErr w:type="gramEnd"/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F40055" w:rsidP="00F40055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التوازن في سوق العمل وفقا للنموذج الكلاسيكي</w:t>
            </w:r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464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  <w:proofErr w:type="gramEnd"/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F40055" w:rsidP="00F40055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التوازن في سوق </w:t>
            </w:r>
            <w:proofErr w:type="gram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السلع  والخدمات</w:t>
            </w:r>
            <w:proofErr w:type="gram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وفقا </w:t>
            </w:r>
            <w:proofErr w:type="spell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للنوذج</w:t>
            </w:r>
            <w:proofErr w:type="spell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الكلاسيكي</w:t>
            </w:r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464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  <w:proofErr w:type="gramEnd"/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F40055" w:rsidP="00F40055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التوازن في سوق النقد وفقا للنموذج الكلاسيكي</w:t>
            </w:r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F40055">
        <w:trPr>
          <w:trHeight w:val="130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  <w:proofErr w:type="gramEnd"/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8C78BF" w:rsidP="00F40055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مدخل للتحليل </w:t>
            </w:r>
            <w:proofErr w:type="spell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الكينزي</w:t>
            </w:r>
            <w:proofErr w:type="spellEnd"/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464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8C78BF" w:rsidP="00F40055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4"/>
                <w:sz w:val="28"/>
                <w:szCs w:val="28"/>
                <w:rtl/>
                <w:lang w:bidi="ar-DZ"/>
              </w:rPr>
              <w:t>تحديد الدخل التوازني في حال وجود قطاعين</w:t>
            </w:r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962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8C78BF" w:rsidP="008C78BF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8C78BF">
              <w:rPr>
                <w:rFonts w:ascii="Sakkal Majalla" w:hAnsi="Sakkal Majalla" w:cs="Sakkal Majalla" w:hint="cs"/>
                <w:b/>
                <w:bCs/>
                <w:spacing w:val="-4"/>
                <w:sz w:val="28"/>
                <w:szCs w:val="28"/>
                <w:rtl/>
                <w:lang w:bidi="ar-DZ"/>
              </w:rPr>
              <w:t xml:space="preserve">تحديد الدخل التوازني في حال وجود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pacing w:val="-4"/>
                <w:sz w:val="28"/>
                <w:szCs w:val="28"/>
                <w:rtl/>
                <w:lang w:bidi="ar-DZ"/>
              </w:rPr>
              <w:t>ثلاث قطاعات</w:t>
            </w:r>
            <w:proofErr w:type="gramEnd"/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464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8C78BF" w:rsidP="008C78BF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أثر التدخل الحكومي على التوازنات الكلية</w:t>
            </w:r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464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8C78BF" w:rsidP="00F40055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 w:rsidRPr="008C78BF">
              <w:rPr>
                <w:rFonts w:ascii="Sakkal Majalla" w:hAnsi="Sakkal Majalla" w:cs="Sakkal Majalla" w:hint="cs"/>
                <w:b/>
                <w:bCs/>
                <w:spacing w:val="-4"/>
                <w:sz w:val="28"/>
                <w:szCs w:val="28"/>
                <w:rtl/>
                <w:lang w:bidi="ar-DZ"/>
              </w:rPr>
              <w:t xml:space="preserve">تحديد الدخل التوازني في حال </w:t>
            </w:r>
            <w:proofErr w:type="gramStart"/>
            <w:r w:rsidRPr="008C78BF">
              <w:rPr>
                <w:rFonts w:ascii="Sakkal Majalla" w:hAnsi="Sakkal Majalla" w:cs="Sakkal Majalla" w:hint="cs"/>
                <w:b/>
                <w:bCs/>
                <w:spacing w:val="-4"/>
                <w:sz w:val="28"/>
                <w:szCs w:val="28"/>
                <w:rtl/>
                <w:lang w:bidi="ar-DZ"/>
              </w:rPr>
              <w:t xml:space="preserve">وجود </w:t>
            </w:r>
            <w:r>
              <w:rPr>
                <w:rFonts w:ascii="Sakkal Majalla" w:hAnsi="Sakkal Majalla" w:cs="Sakkal Majalla" w:hint="cs"/>
                <w:b/>
                <w:bCs/>
                <w:spacing w:val="-4"/>
                <w:sz w:val="28"/>
                <w:szCs w:val="28"/>
                <w:rtl/>
                <w:lang w:bidi="ar-DZ"/>
              </w:rPr>
              <w:t xml:space="preserve"> اربع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pacing w:val="-4"/>
                <w:sz w:val="28"/>
                <w:szCs w:val="28"/>
                <w:rtl/>
                <w:lang w:bidi="ar-DZ"/>
              </w:rPr>
              <w:t xml:space="preserve"> </w:t>
            </w:r>
            <w:r w:rsidRPr="008C78BF">
              <w:rPr>
                <w:rFonts w:ascii="Sakkal Majalla" w:hAnsi="Sakkal Majalla" w:cs="Sakkal Majalla" w:hint="cs"/>
                <w:b/>
                <w:bCs/>
                <w:spacing w:val="-4"/>
                <w:sz w:val="28"/>
                <w:szCs w:val="28"/>
                <w:rtl/>
                <w:lang w:bidi="ar-DZ"/>
              </w:rPr>
              <w:t>قطاع</w:t>
            </w:r>
            <w:r>
              <w:rPr>
                <w:rFonts w:ascii="Sakkal Majalla" w:hAnsi="Sakkal Majalla" w:cs="Sakkal Majalla" w:hint="cs"/>
                <w:b/>
                <w:bCs/>
                <w:spacing w:val="-4"/>
                <w:sz w:val="28"/>
                <w:szCs w:val="28"/>
                <w:rtl/>
                <w:lang w:bidi="ar-DZ"/>
              </w:rPr>
              <w:t>ات</w:t>
            </w:r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464"/>
          <w:jc w:val="center"/>
        </w:trPr>
        <w:tc>
          <w:tcPr>
            <w:tcW w:w="2201" w:type="dxa"/>
            <w:gridSpan w:val="3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4513B5" w:rsidRDefault="008C78BF" w:rsidP="008C78BF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4"/>
                <w:sz w:val="28"/>
                <w:szCs w:val="28"/>
                <w:rtl/>
                <w:lang w:bidi="ar-DZ"/>
              </w:rPr>
              <w:t xml:space="preserve">تحديد </w:t>
            </w:r>
            <w:r>
              <w:rPr>
                <w:rFonts w:ascii="Sakkal Majalla" w:hAnsi="Sakkal Majalla" w:cs="Sakkal Majalla" w:hint="cs"/>
                <w:b/>
                <w:bCs/>
                <w:spacing w:val="-4"/>
                <w:sz w:val="28"/>
                <w:szCs w:val="28"/>
                <w:rtl/>
                <w:lang w:bidi="ar-DZ"/>
              </w:rPr>
              <w:t>أثر التعامل مع العالم الخارجي على التوازنات الداخلية</w:t>
            </w:r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40055" w:rsidRPr="0050480E" w:rsidTr="00280E0B">
        <w:trPr>
          <w:trHeight w:val="352"/>
          <w:jc w:val="center"/>
        </w:trPr>
        <w:tc>
          <w:tcPr>
            <w:tcW w:w="2201" w:type="dxa"/>
            <w:gridSpan w:val="3"/>
            <w:vMerge w:val="restart"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F40055" w:rsidRPr="0050480E" w:rsidTr="00280E0B">
        <w:trPr>
          <w:trHeight w:val="371"/>
          <w:jc w:val="center"/>
        </w:trPr>
        <w:tc>
          <w:tcPr>
            <w:tcW w:w="2201" w:type="dxa"/>
            <w:gridSpan w:val="3"/>
            <w:vMerge/>
            <w:shd w:val="clear" w:color="auto" w:fill="auto"/>
            <w:vAlign w:val="center"/>
          </w:tcPr>
          <w:p w:rsidR="00F40055" w:rsidRPr="0058217A" w:rsidRDefault="00F40055" w:rsidP="00F40055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039" w:type="dxa"/>
            <w:gridSpan w:val="12"/>
            <w:shd w:val="clear" w:color="auto" w:fill="auto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2162" w:type="dxa"/>
            <w:shd w:val="clear" w:color="auto" w:fill="auto"/>
          </w:tcPr>
          <w:p w:rsidR="00F40055" w:rsidRPr="0058217A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F40055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F40055" w:rsidRPr="00A5569E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F40055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F40055" w:rsidRPr="004517BB" w:rsidRDefault="00F40055" w:rsidP="00F400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:rsidR="00F40055" w:rsidRDefault="00F40055" w:rsidP="00F400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F40055" w:rsidRPr="005F1E9A" w:rsidRDefault="00F40055" w:rsidP="00F400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F40055" w:rsidRPr="004517BB" w:rsidRDefault="00F40055" w:rsidP="00F400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 xml:space="preserve">تقديم بطاقة قراءة لمحور </w:t>
            </w:r>
          </w:p>
          <w:p w:rsidR="00F40055" w:rsidRPr="004517BB" w:rsidRDefault="00F40055" w:rsidP="00F400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F40055" w:rsidRPr="004517BB" w:rsidRDefault="00F40055" w:rsidP="00F400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F40055" w:rsidRPr="00A5569E" w:rsidRDefault="00F40055" w:rsidP="00F400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F40055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40055" w:rsidRPr="00A5569E" w:rsidRDefault="00F40055" w:rsidP="00F4005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مصادقات الهيئات الإدارية والبيداغوجية</w:t>
            </w:r>
          </w:p>
        </w:tc>
      </w:tr>
      <w:tr w:rsidR="00F40055" w:rsidRPr="0050480E" w:rsidTr="00280E0B">
        <w:trPr>
          <w:trHeight w:val="705"/>
          <w:jc w:val="center"/>
        </w:trPr>
        <w:tc>
          <w:tcPr>
            <w:tcW w:w="2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نائب العميد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الملكف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F40055" w:rsidRPr="0050480E" w:rsidTr="00280E0B">
        <w:trPr>
          <w:trHeight w:val="1817"/>
          <w:jc w:val="center"/>
        </w:trPr>
        <w:tc>
          <w:tcPr>
            <w:tcW w:w="2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40055" w:rsidRPr="0050480E" w:rsidRDefault="00F40055" w:rsidP="00F400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055" w:rsidRPr="0050480E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F40055" w:rsidRPr="0050480E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F40055" w:rsidRPr="005C7BB6" w:rsidRDefault="00F40055" w:rsidP="00F40055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footerReference w:type="default" r:id="rId7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C51" w:rsidRDefault="00ED3C51" w:rsidP="00343D69">
      <w:pPr>
        <w:spacing w:after="0" w:line="240" w:lineRule="auto"/>
      </w:pPr>
      <w:r>
        <w:separator/>
      </w:r>
    </w:p>
  </w:endnote>
  <w:endnote w:type="continuationSeparator" w:id="0">
    <w:p w:rsidR="00ED3C51" w:rsidRDefault="00ED3C51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B75E23">
      <w:fldChar w:fldCharType="begin"/>
    </w:r>
    <w:r w:rsidR="00B75E23">
      <w:instrText xml:space="preserve"> PAGE   \* MERGEFORMAT </w:instrText>
    </w:r>
    <w:r w:rsidR="00B75E23">
      <w:fldChar w:fldCharType="separate"/>
    </w:r>
    <w:r w:rsidR="00494C16" w:rsidRPr="00494C16">
      <w:rPr>
        <w:rFonts w:asciiTheme="majorHAnsi" w:hAnsiTheme="majorHAnsi"/>
        <w:noProof/>
      </w:rPr>
      <w:t>3</w:t>
    </w:r>
    <w:r w:rsidR="00B75E23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C51" w:rsidRDefault="00ED3C51" w:rsidP="00343D69">
      <w:pPr>
        <w:spacing w:after="0" w:line="240" w:lineRule="auto"/>
      </w:pPr>
      <w:r>
        <w:separator/>
      </w:r>
    </w:p>
  </w:footnote>
  <w:footnote w:type="continuationSeparator" w:id="0">
    <w:p w:rsidR="00ED3C51" w:rsidRDefault="00ED3C51" w:rsidP="0034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B9"/>
    <w:rsid w:val="00021A1E"/>
    <w:rsid w:val="00026CB3"/>
    <w:rsid w:val="00042834"/>
    <w:rsid w:val="0005403E"/>
    <w:rsid w:val="00080104"/>
    <w:rsid w:val="000A2CC2"/>
    <w:rsid w:val="000D7CD0"/>
    <w:rsid w:val="000F2B30"/>
    <w:rsid w:val="00146791"/>
    <w:rsid w:val="001C12EC"/>
    <w:rsid w:val="002231DE"/>
    <w:rsid w:val="00247AA8"/>
    <w:rsid w:val="00273262"/>
    <w:rsid w:val="00280E0B"/>
    <w:rsid w:val="0028233F"/>
    <w:rsid w:val="002D32A2"/>
    <w:rsid w:val="002D7413"/>
    <w:rsid w:val="00310431"/>
    <w:rsid w:val="00343D69"/>
    <w:rsid w:val="003636DE"/>
    <w:rsid w:val="00366219"/>
    <w:rsid w:val="00376FE9"/>
    <w:rsid w:val="00494C16"/>
    <w:rsid w:val="00533F74"/>
    <w:rsid w:val="00544363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728C4"/>
    <w:rsid w:val="006857D1"/>
    <w:rsid w:val="006A5D08"/>
    <w:rsid w:val="00724099"/>
    <w:rsid w:val="007B4CA9"/>
    <w:rsid w:val="007E03C8"/>
    <w:rsid w:val="008C78BF"/>
    <w:rsid w:val="008D0B93"/>
    <w:rsid w:val="008E08A8"/>
    <w:rsid w:val="008E7CD5"/>
    <w:rsid w:val="009258DC"/>
    <w:rsid w:val="0094783E"/>
    <w:rsid w:val="00981212"/>
    <w:rsid w:val="009D771D"/>
    <w:rsid w:val="009F7D79"/>
    <w:rsid w:val="00A17998"/>
    <w:rsid w:val="00A5569E"/>
    <w:rsid w:val="00A661FA"/>
    <w:rsid w:val="00A91ADB"/>
    <w:rsid w:val="00AE6434"/>
    <w:rsid w:val="00B432F3"/>
    <w:rsid w:val="00B52784"/>
    <w:rsid w:val="00B75E23"/>
    <w:rsid w:val="00BB1046"/>
    <w:rsid w:val="00C25017"/>
    <w:rsid w:val="00C34721"/>
    <w:rsid w:val="00C5263C"/>
    <w:rsid w:val="00C54D69"/>
    <w:rsid w:val="00C730A7"/>
    <w:rsid w:val="00C754E5"/>
    <w:rsid w:val="00C95252"/>
    <w:rsid w:val="00CB2779"/>
    <w:rsid w:val="00D57B68"/>
    <w:rsid w:val="00D84EAE"/>
    <w:rsid w:val="00DA5155"/>
    <w:rsid w:val="00E6741C"/>
    <w:rsid w:val="00E71FE6"/>
    <w:rsid w:val="00E77088"/>
    <w:rsid w:val="00E82A76"/>
    <w:rsid w:val="00E83EE7"/>
    <w:rsid w:val="00E911EE"/>
    <w:rsid w:val="00EA4872"/>
    <w:rsid w:val="00ED3C51"/>
    <w:rsid w:val="00ED6BCE"/>
    <w:rsid w:val="00ED7162"/>
    <w:rsid w:val="00EE758D"/>
    <w:rsid w:val="00EF7A96"/>
    <w:rsid w:val="00F02BA7"/>
    <w:rsid w:val="00F12BB9"/>
    <w:rsid w:val="00F40055"/>
    <w:rsid w:val="00F70AA2"/>
    <w:rsid w:val="00FA4384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11A657-D0B5-4C79-804B-717F30DA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80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Hp</cp:lastModifiedBy>
  <cp:revision>4</cp:revision>
  <cp:lastPrinted>2023-02-27T21:31:00Z</cp:lastPrinted>
  <dcterms:created xsi:type="dcterms:W3CDTF">2023-12-04T06:46:00Z</dcterms:created>
  <dcterms:modified xsi:type="dcterms:W3CDTF">2023-12-04T07:26:00Z</dcterms:modified>
</cp:coreProperties>
</file>