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4F" w:rsidRPr="00B7036B" w:rsidRDefault="0076244F" w:rsidP="00C25D22">
      <w:pPr>
        <w:pStyle w:val="Paragraphedeliste"/>
        <w:numPr>
          <w:ilvl w:val="0"/>
          <w:numId w:val="6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7036B">
        <w:rPr>
          <w:rStyle w:val="markedcontent"/>
          <w:rFonts w:asciiTheme="majorBidi" w:hAnsiTheme="majorBidi" w:cstheme="majorBidi"/>
          <w:sz w:val="28"/>
          <w:szCs w:val="28"/>
          <w:shd w:val="clear" w:color="auto" w:fill="FFFF00"/>
        </w:rPr>
        <w:t>Modes de gestion</w:t>
      </w:r>
      <w:r w:rsidR="00B7036B" w:rsidRPr="00B7036B">
        <w:rPr>
          <w:rStyle w:val="markedcontent"/>
          <w:rFonts w:asciiTheme="majorBidi" w:hAnsiTheme="majorBidi" w:cstheme="majorBidi"/>
          <w:sz w:val="28"/>
          <w:szCs w:val="28"/>
          <w:shd w:val="clear" w:color="auto" w:fill="FFFF00"/>
        </w:rPr>
        <w:t xml:space="preserve"> de l’eau</w:t>
      </w:r>
    </w:p>
    <w:p w:rsidR="0076244F" w:rsidRPr="005F6EE8" w:rsidRDefault="0076244F" w:rsidP="005F6EE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La politique algérienne de gestion de l’eau a été, depuis une dizaine d’années, davantage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axée sur la mobilisation de nouvelles ressources que sur la recherche d’une meilleure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utilisation des ressources déjà disponibles. </w:t>
      </w:r>
    </w:p>
    <w:p w:rsidR="0076244F" w:rsidRPr="00C25D22" w:rsidRDefault="007119E3" w:rsidP="005F6EE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A</w:t>
      </w:r>
      <w:r w:rsidR="0076244F" w:rsidRPr="00C25D22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. La gestion directe</w:t>
      </w:r>
      <w:r w:rsidR="0076244F" w:rsidRPr="00C25D22">
        <w:rPr>
          <w:rStyle w:val="markedcontent"/>
          <w:rFonts w:asciiTheme="majorBidi" w:hAnsiTheme="majorBidi" w:cstheme="majorBidi"/>
          <w:sz w:val="28"/>
          <w:szCs w:val="28"/>
        </w:rPr>
        <w:t xml:space="preserve"> à ce mode l’état.</w:t>
      </w:r>
    </w:p>
    <w:p w:rsidR="0076244F" w:rsidRPr="005F6EE8" w:rsidRDefault="007119E3" w:rsidP="005F6EE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B</w:t>
      </w:r>
      <w:r w:rsidR="005F6EE8" w:rsidRPr="00C25D22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76244F" w:rsidRPr="00C25D22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La gestion déléguée</w:t>
      </w:r>
      <w:r w:rsidR="0076244F"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 ici la gestion de l’eau se fait</w:t>
      </w:r>
      <w:r w:rsidR="0076244F" w:rsidRPr="005F6EE8">
        <w:rPr>
          <w:rFonts w:asciiTheme="majorBidi" w:hAnsiTheme="majorBidi" w:cstheme="majorBidi"/>
          <w:sz w:val="28"/>
          <w:szCs w:val="28"/>
        </w:rPr>
        <w:br/>
      </w:r>
      <w:r w:rsidR="0076244F"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par des sociétés étrangères : </w:t>
      </w:r>
    </w:p>
    <w:p w:rsidR="0076244F" w:rsidRPr="005F6EE8" w:rsidRDefault="0076244F" w:rsidP="0076244F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Société des Eaux et de l'Assainissement d'Alger 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shd w:val="clear" w:color="auto" w:fill="FFFF00"/>
        </w:rPr>
        <w:t>(SEAAL),</w:t>
      </w:r>
    </w:p>
    <w:p w:rsidR="0076244F" w:rsidRPr="005F6EE8" w:rsidRDefault="0076244F" w:rsidP="0076244F">
      <w:pPr>
        <w:pStyle w:val="Paragraphedeliste"/>
        <w:numPr>
          <w:ilvl w:val="0"/>
          <w:numId w:val="2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Société de l'Eau et de l'Assainissement de Constantine 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shd w:val="clear" w:color="auto" w:fill="FFFF00"/>
        </w:rPr>
        <w:t>(SEACO),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76244F" w:rsidRPr="005F6EE8" w:rsidRDefault="0076244F" w:rsidP="0076244F">
      <w:pPr>
        <w:pStyle w:val="Paragraphedeliste"/>
        <w:numPr>
          <w:ilvl w:val="0"/>
          <w:numId w:val="2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Société de l'Eau et de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l'Assainissement d'Oran 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shd w:val="clear" w:color="auto" w:fill="FFFF00"/>
        </w:rPr>
        <w:t>(SEOR),</w:t>
      </w:r>
    </w:p>
    <w:p w:rsidR="0076244F" w:rsidRPr="005F6EE8" w:rsidRDefault="0076244F" w:rsidP="0076244F">
      <w:pPr>
        <w:pStyle w:val="Paragraphedeliste"/>
        <w:numPr>
          <w:ilvl w:val="0"/>
          <w:numId w:val="2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 Société des eaux et de l'assainissement d'El-Tarf et</w:t>
      </w:r>
      <w:r w:rsidRPr="005F6EE8">
        <w:rPr>
          <w:rFonts w:asciiTheme="majorBidi" w:hAnsiTheme="majorBidi" w:cstheme="majorBidi"/>
          <w:sz w:val="28"/>
          <w:szCs w:val="28"/>
        </w:rPr>
        <w:br/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d'Annaba 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shd w:val="clear" w:color="auto" w:fill="FFFF00"/>
        </w:rPr>
        <w:t>(SEATA)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 pour la gestion de l’eau potable et l’assainissement dans les grandes villes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du pays.</w:t>
      </w:r>
    </w:p>
    <w:p w:rsidR="005F6EE8" w:rsidRPr="005F6EE8" w:rsidRDefault="005F6EE8" w:rsidP="005F6EE8">
      <w:pPr>
        <w:pStyle w:val="Paragraphedeliste"/>
        <w:ind w:left="108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F6EE8" w:rsidRPr="00B7036B" w:rsidRDefault="005F6EE8" w:rsidP="00B7036B">
      <w:pPr>
        <w:pStyle w:val="Paragraphedeliste"/>
        <w:numPr>
          <w:ilvl w:val="0"/>
          <w:numId w:val="6"/>
        </w:num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7036B"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  <w:t>Stratégies et vision</w:t>
      </w:r>
      <w:r w:rsidR="00B7036B" w:rsidRPr="00B7036B"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  <w:t xml:space="preserve"> globale et durable </w:t>
      </w:r>
    </w:p>
    <w:p w:rsidR="005F6EE8" w:rsidRPr="005F6EE8" w:rsidRDefault="00C25D22" w:rsidP="005F6EE8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La </w:t>
      </w:r>
      <w:r w:rsidR="005F6EE8" w:rsidRPr="005F6EE8">
        <w:rPr>
          <w:rStyle w:val="markedcontent"/>
          <w:rFonts w:asciiTheme="majorBidi" w:hAnsiTheme="majorBidi" w:cstheme="majorBidi"/>
          <w:sz w:val="28"/>
          <w:szCs w:val="28"/>
        </w:rPr>
        <w:t>vision globale et durable de la ressource en eau doit tenir compte:</w:t>
      </w:r>
      <w:r w:rsidR="005F6EE8" w:rsidRPr="005F6EE8">
        <w:rPr>
          <w:rFonts w:asciiTheme="majorBidi" w:hAnsiTheme="majorBidi" w:cstheme="majorBidi"/>
          <w:sz w:val="28"/>
          <w:szCs w:val="28"/>
        </w:rPr>
        <w:br/>
      </w:r>
      <w:r w:rsidR="005F6EE8" w:rsidRPr="005F6EE8">
        <w:rPr>
          <w:rStyle w:val="markedcontent"/>
          <w:rFonts w:asciiTheme="majorBidi" w:hAnsiTheme="majorBidi" w:cstheme="majorBidi"/>
          <w:sz w:val="28"/>
          <w:szCs w:val="28"/>
        </w:rPr>
        <w:t>- Des potentialités du pays.</w:t>
      </w:r>
    </w:p>
    <w:p w:rsidR="005F6EE8" w:rsidRPr="005F6EE8" w:rsidRDefault="005F6EE8" w:rsidP="005F6EE8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- Du respect des écosystèmes aquatiques.</w:t>
      </w:r>
    </w:p>
    <w:p w:rsidR="005F6EE8" w:rsidRPr="005F6EE8" w:rsidRDefault="005F6EE8" w:rsidP="005F6EE8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- Du respect de l’environnement.</w:t>
      </w:r>
    </w:p>
    <w:p w:rsidR="005F6EE8" w:rsidRDefault="005F6EE8" w:rsidP="005F6EE8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- Des différents partenaires dans le bassin méditerranéen et pays voisins.</w:t>
      </w:r>
    </w:p>
    <w:p w:rsidR="00C25D22" w:rsidRPr="005F6EE8" w:rsidRDefault="00C25D22" w:rsidP="005F6EE8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5F6EE8" w:rsidRPr="00B7036B" w:rsidRDefault="00C25D22" w:rsidP="005F6EE8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7036B"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  <w:t>3) Principe</w:t>
      </w:r>
      <w:r w:rsidR="005F6EE8" w:rsidRPr="00B7036B"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  <w:t xml:space="preserve"> de la stratégie de la gestion de l’</w:t>
      </w:r>
      <w:r w:rsidRPr="00B7036B"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  <w:t>eau</w:t>
      </w:r>
    </w:p>
    <w:p w:rsidR="00C25D22" w:rsidRDefault="005F6EE8" w:rsidP="005F6EE8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- L’alimentation en eau potable est une priorité</w:t>
      </w:r>
      <w:r w:rsidR="00C25D22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25D22" w:rsidRDefault="005F6EE8" w:rsidP="005F6EE8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- La mobilisation au maximum des eaux superficielles est un objectif prioritaire et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permanent</w:t>
      </w:r>
      <w:r w:rsidR="00C25D22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25D22" w:rsidRDefault="005F6EE8" w:rsidP="005F6EE8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- La demande en eau (potable, agriculture, industrielle) doit être évaluée en détails pour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l’horizon 2020 et 2050</w:t>
      </w:r>
      <w:r w:rsidR="00C25D22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25D22" w:rsidRDefault="005F6EE8" w:rsidP="005F6EE8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- La production énergétique doit être faite de façon </w:t>
      </w:r>
      <w:r w:rsidR="00C25D22" w:rsidRPr="005F6EE8">
        <w:rPr>
          <w:rStyle w:val="markedcontent"/>
          <w:rFonts w:asciiTheme="majorBidi" w:hAnsiTheme="majorBidi" w:cstheme="majorBidi"/>
          <w:sz w:val="28"/>
          <w:szCs w:val="28"/>
        </w:rPr>
        <w:t>régulière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 et </w:t>
      </w:r>
      <w:r w:rsidR="00C25D22" w:rsidRPr="005F6EE8">
        <w:rPr>
          <w:rStyle w:val="markedcontent"/>
          <w:rFonts w:asciiTheme="majorBidi" w:hAnsiTheme="majorBidi" w:cstheme="majorBidi"/>
          <w:sz w:val="28"/>
          <w:szCs w:val="28"/>
        </w:rPr>
        <w:t>convenable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 avec la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ressource en eau conventionnelle et l’eau de mer</w:t>
      </w:r>
      <w:r w:rsidR="00C25D22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25D22" w:rsidRDefault="005F6EE8" w:rsidP="00C25D22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Fonts w:asciiTheme="majorBidi" w:hAnsiTheme="majorBidi" w:cstheme="majorBidi"/>
          <w:sz w:val="28"/>
          <w:szCs w:val="28"/>
        </w:rPr>
        <w:lastRenderedPageBreak/>
        <w:br/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- La promotion active de l’application d’un principe de base: “qui pollue, paye”. - Le prix réel du service doit être facturé et doit déboucher sur une meilleure qualité de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gestion.</w:t>
      </w:r>
    </w:p>
    <w:p w:rsidR="005F6EE8" w:rsidRDefault="005F6EE8" w:rsidP="00C25D22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- La distribution de l’eau régulièrement et tous les jours.</w:t>
      </w:r>
    </w:p>
    <w:p w:rsidR="00C25D22" w:rsidRPr="005F6EE8" w:rsidRDefault="00C25D22" w:rsidP="00C25D22">
      <w:p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CE6235" w:rsidRPr="00B7036B" w:rsidRDefault="00CE6235" w:rsidP="00C25D22">
      <w:pPr>
        <w:pStyle w:val="Paragraphedeliste"/>
        <w:numPr>
          <w:ilvl w:val="0"/>
          <w:numId w:val="5"/>
        </w:numPr>
        <w:shd w:val="clear" w:color="auto" w:fill="FFFFFF" w:themeFill="background1"/>
        <w:jc w:val="both"/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7036B">
        <w:rPr>
          <w:rStyle w:val="markedcontent"/>
          <w:rFonts w:asciiTheme="majorBidi" w:hAnsiTheme="majorBidi" w:cstheme="majorBidi"/>
          <w:b/>
          <w:bCs/>
          <w:sz w:val="28"/>
          <w:szCs w:val="28"/>
          <w:u w:val="single"/>
        </w:rPr>
        <w:t>Les axes essentiels de stratégies de l’eau</w:t>
      </w:r>
    </w:p>
    <w:p w:rsidR="00DE0200" w:rsidRPr="00C25D22" w:rsidRDefault="00C25D22" w:rsidP="0076244F">
      <w:pPr>
        <w:ind w:left="720"/>
        <w:jc w:val="both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 w:rsidRPr="00C25D22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4.</w:t>
      </w:r>
      <w:r w:rsidR="00CE6235" w:rsidRPr="00C25D22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1. Les stratégies de mobilisation des</w:t>
      </w:r>
      <w:r w:rsidR="00CE6235" w:rsidRPr="00C25D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E6235" w:rsidRPr="00C25D22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ressources conventionnelles.</w:t>
      </w:r>
    </w:p>
    <w:p w:rsidR="00CE6235" w:rsidRPr="005F6EE8" w:rsidRDefault="00CE6235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  <w:u w:val="single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sym w:font="Symbol" w:char="F0B7"/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 xml:space="preserve"> Construction de nouveaux barrages et</w:t>
      </w:r>
      <w:r w:rsidR="00C25D22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>développement les systèmes de transfert.</w:t>
      </w:r>
    </w:p>
    <w:p w:rsidR="00CE6235" w:rsidRPr="005F6EE8" w:rsidRDefault="00CE6235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L’Algérie compte aujourd'hui </w:t>
      </w:r>
      <w:r w:rsidRPr="005F6EE8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65 barrages en</w:t>
      </w:r>
      <w:r w:rsidRPr="005F6EE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exploitation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 (d’une capacité de stockage de 7,4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milliards de m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vertAlign w:val="superscript"/>
        </w:rPr>
        <w:t>3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), </w:t>
      </w:r>
      <w:r w:rsidRPr="005F6EE8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14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en cours de réalisation pour une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capacité globale à terme de 8,4 milliards de m3. À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cela s’ajoute </w:t>
      </w:r>
      <w:r w:rsidRPr="005F6EE8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163 petits barrages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 et </w:t>
      </w:r>
      <w:r w:rsidRPr="005F6EE8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400 retenues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collinaires destinés à des fins agricoles.</w:t>
      </w:r>
    </w:p>
    <w:p w:rsidR="00CE6235" w:rsidRPr="005F6EE8" w:rsidRDefault="00CE6235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  <w:u w:val="single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sym w:font="Symbol" w:char="F0B7"/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 xml:space="preserve"> Stratégies d’exploitation des</w:t>
      </w:r>
      <w:r w:rsidR="00C25D22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>ressources souterraines.</w:t>
      </w:r>
    </w:p>
    <w:p w:rsidR="00CE6235" w:rsidRPr="005F6EE8" w:rsidRDefault="00CE6235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Cette stratégie se compose en réalité de deux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principes : la réduction maximale d’exploitation des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nappes souterraines de Nord et l’encouragement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pour l’exploitation des nappes d’eau de sud Algérien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(Sahara).</w:t>
      </w:r>
    </w:p>
    <w:p w:rsidR="00CE6235" w:rsidRPr="00C25D22" w:rsidRDefault="00C25D22" w:rsidP="0076244F">
      <w:pPr>
        <w:ind w:left="720"/>
        <w:jc w:val="both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 w:rsidRPr="00C25D22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4</w:t>
      </w:r>
      <w:r w:rsidR="00CE6235" w:rsidRPr="00C25D22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.2. Les stratégies de mobilisation des</w:t>
      </w:r>
      <w:r w:rsidRPr="00C25D2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E6235" w:rsidRPr="00C25D22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ressources non conventionnelles.</w:t>
      </w:r>
    </w:p>
    <w:p w:rsidR="00CE6235" w:rsidRPr="005F6EE8" w:rsidRDefault="00CE6235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  <w:u w:val="single"/>
        </w:rPr>
      </w:pPr>
      <w:r w:rsidRPr="005F6EE8">
        <w:rPr>
          <w:rFonts w:asciiTheme="majorBidi" w:hAnsiTheme="majorBidi" w:cstheme="majorBidi"/>
          <w:sz w:val="28"/>
          <w:szCs w:val="28"/>
        </w:rPr>
        <w:br/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Cette nouvelle orientation qu’elle a adoptée sert à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sécuriser et accroitre la mobilisation des ressources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en eau, en raison de l’insuffisance de la quantité de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ressources en eau conventionnelle aux demandes.</w:t>
      </w:r>
    </w:p>
    <w:p w:rsidR="00CE6235" w:rsidRPr="005F6EE8" w:rsidRDefault="00C25D22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  <w:u w:val="single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sym w:font="Symbol" w:char="F0B7"/>
      </w:r>
      <w:r>
        <w:rPr>
          <w:rStyle w:val="markedcontent"/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CE6235"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>Le dessalement de l’eau de Mer (DDM)</w:t>
      </w:r>
    </w:p>
    <w:p w:rsidR="00CE6235" w:rsidRPr="005F6EE8" w:rsidRDefault="00CE6235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Vue que l’Algérie a une position géostratégique,</w:t>
      </w:r>
      <w:r w:rsidR="0037138E"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qui dispose presque de 1200 km de côtes, l’Algérie</w:t>
      </w:r>
      <w:r w:rsidR="0037138E"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a mis en œuvre l’alternative du dessalement d’eau de mer (trois quarts) ou d’eau saumâtre (un quart) pour</w:t>
      </w:r>
      <w:r w:rsidR="0037138E"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alimenter en eau potable des villes et localités du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littoral</w:t>
      </w:r>
      <w:r w:rsidR="0037138E" w:rsidRPr="005F6EE8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37138E" w:rsidRPr="005F6EE8" w:rsidRDefault="0037138E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  <w:u w:val="single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lastRenderedPageBreak/>
        <w:sym w:font="Symbol" w:char="F0B7"/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 xml:space="preserve"> Extension et construction des stations</w:t>
      </w:r>
      <w:r w:rsidRPr="005F6EE8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>d’épuration STEP.</w:t>
      </w:r>
    </w:p>
    <w:p w:rsidR="0037138E" w:rsidRPr="005F6EE8" w:rsidRDefault="0037138E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Le programme de construction de stations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d’épuration, et l’extension et réhabilitation des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anciennes stations qui nécessitent tout d’abord une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volonté politique et un budget considérable aussi ;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englobe d’autres aspects tel que l’environnement,</w:t>
      </w:r>
      <w:r w:rsidRPr="005F6EE8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l’écotourisme, la sécurité alimentaire ...etc.</w:t>
      </w:r>
    </w:p>
    <w:p w:rsidR="0037138E" w:rsidRPr="005F6EE8" w:rsidRDefault="0037138E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  <w:u w:val="single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sym w:font="Symbol" w:char="F0B7"/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 xml:space="preserve"> La réutilisation de l’eau usée épurée.</w:t>
      </w:r>
    </w:p>
    <w:p w:rsidR="0037138E" w:rsidRPr="005F6EE8" w:rsidRDefault="0037138E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Cette stratégie sert à protéger les ressources en eau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conventionnel d’une part, et de réutiliser les eaux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traitées au lieu de les jeter à la mer, cela prouve qu’il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y’a une rationalité de centre décisionnel.</w:t>
      </w:r>
    </w:p>
    <w:p w:rsidR="0037138E" w:rsidRPr="005F6EE8" w:rsidRDefault="0037138E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  <w:u w:val="single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sym w:font="Symbol" w:char="F0B7"/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 xml:space="preserve"> L’extension des terres agricoles.</w:t>
      </w:r>
    </w:p>
    <w:p w:rsidR="0037138E" w:rsidRPr="005F6EE8" w:rsidRDefault="0037138E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L’extension des terres agricoles est liée avec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l’approvisionnement de l’eau, au début l’irrigation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se fait à partir des barrages (irrigation gravitaire) et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nécessite une quantité d’eau importante mais avec la</w:t>
      </w:r>
      <w:r w:rsidRPr="005F6EE8">
        <w:rPr>
          <w:rFonts w:asciiTheme="majorBidi" w:hAnsiTheme="majorBidi" w:cstheme="majorBidi"/>
          <w:sz w:val="28"/>
          <w:szCs w:val="28"/>
        </w:rPr>
        <w:br/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 xml:space="preserve">sécheresse qu’a connu l’Algérie dans les années 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(1970, 1989, 2000), le pourcentage de l’eau destinée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à l’irrigation diminue et a été orienté pour l’AEP.</w:t>
      </w:r>
    </w:p>
    <w:p w:rsidR="0037138E" w:rsidRPr="005F6EE8" w:rsidRDefault="005F6EE8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  <w:u w:val="single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sym w:font="Symbol" w:char="F0B7"/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 xml:space="preserve"> Réhabilitation et extension des systèmes</w:t>
      </w:r>
      <w:r w:rsidRPr="005F6EE8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>d’AEP, d’assainissement et de protection</w:t>
      </w:r>
      <w:r w:rsidRPr="005F6EE8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>contre les inondations pour généraliser</w:t>
      </w:r>
      <w:r w:rsidRPr="005F6EE8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  <w:u w:val="single"/>
        </w:rPr>
        <w:t>l’accès à l’eau.</w:t>
      </w:r>
    </w:p>
    <w:p w:rsidR="0037138E" w:rsidRPr="005F6EE8" w:rsidRDefault="005F6EE8" w:rsidP="0076244F">
      <w:pPr>
        <w:ind w:left="720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Cette stratégie est au cœur de programme de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planification des ressources en eau, elle rentre dans</w:t>
      </w:r>
      <w:r w:rsidR="00C25D22">
        <w:rPr>
          <w:rFonts w:asciiTheme="majorBidi" w:hAnsiTheme="majorBidi" w:cstheme="majorBidi"/>
          <w:sz w:val="28"/>
          <w:szCs w:val="28"/>
        </w:rPr>
        <w:t xml:space="preserve"> </w:t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l’aspect de minimisation de la quantité perdue de</w:t>
      </w:r>
      <w:r w:rsidRPr="005F6EE8">
        <w:rPr>
          <w:rFonts w:asciiTheme="majorBidi" w:hAnsiTheme="majorBidi" w:cstheme="majorBidi"/>
          <w:sz w:val="28"/>
          <w:szCs w:val="28"/>
        </w:rPr>
        <w:br/>
      </w:r>
      <w:r w:rsidRPr="005F6EE8">
        <w:rPr>
          <w:rStyle w:val="markedcontent"/>
          <w:rFonts w:asciiTheme="majorBidi" w:hAnsiTheme="majorBidi" w:cstheme="majorBidi"/>
          <w:sz w:val="28"/>
          <w:szCs w:val="28"/>
        </w:rPr>
        <w:t>l’eau avec un pourcentage important.</w:t>
      </w:r>
    </w:p>
    <w:p w:rsidR="0037138E" w:rsidRPr="005F6EE8" w:rsidRDefault="0037138E" w:rsidP="0076244F">
      <w:pPr>
        <w:ind w:left="720"/>
        <w:jc w:val="both"/>
        <w:rPr>
          <w:rFonts w:asciiTheme="majorBidi" w:hAnsiTheme="majorBidi" w:cstheme="majorBidi"/>
          <w:sz w:val="28"/>
          <w:szCs w:val="28"/>
        </w:rPr>
      </w:pPr>
    </w:p>
    <w:sectPr w:rsidR="0037138E" w:rsidRPr="005F6EE8" w:rsidSect="00DE020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31F" w:rsidRDefault="0094031F" w:rsidP="005F6EE8">
      <w:pPr>
        <w:spacing w:after="0" w:line="240" w:lineRule="auto"/>
      </w:pPr>
      <w:r>
        <w:separator/>
      </w:r>
    </w:p>
  </w:endnote>
  <w:endnote w:type="continuationSeparator" w:id="1">
    <w:p w:rsidR="0094031F" w:rsidRDefault="0094031F" w:rsidP="005F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344891"/>
      <w:docPartObj>
        <w:docPartGallery w:val="Page Numbers (Bottom of Page)"/>
        <w:docPartUnique/>
      </w:docPartObj>
    </w:sdtPr>
    <w:sdtContent>
      <w:p w:rsidR="00E14B4E" w:rsidRDefault="009E138E">
        <w:pPr>
          <w:pStyle w:val="Pieddepage"/>
        </w:pPr>
        <w:fldSimple w:instr=" PAGE   \* MERGEFORMAT ">
          <w:r w:rsidR="00B337D8">
            <w:rPr>
              <w:noProof/>
            </w:rPr>
            <w:t>3</w:t>
          </w:r>
        </w:fldSimple>
      </w:p>
    </w:sdtContent>
  </w:sdt>
  <w:p w:rsidR="00E14B4E" w:rsidRPr="00880E1D" w:rsidRDefault="00880E1D">
    <w:pPr>
      <w:pStyle w:val="Pieddepage"/>
      <w:rPr>
        <w:i/>
        <w:iCs/>
        <w:sz w:val="16"/>
        <w:szCs w:val="16"/>
      </w:rPr>
    </w:pPr>
    <w:r w:rsidRPr="00880E1D">
      <w:rPr>
        <w:i/>
        <w:iCs/>
        <w:sz w:val="16"/>
        <w:szCs w:val="16"/>
      </w:rPr>
      <w:t xml:space="preserve">Dr. BOUCHAREB Noureddine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31F" w:rsidRDefault="0094031F" w:rsidP="005F6EE8">
      <w:pPr>
        <w:spacing w:after="0" w:line="240" w:lineRule="auto"/>
      </w:pPr>
      <w:r>
        <w:separator/>
      </w:r>
    </w:p>
  </w:footnote>
  <w:footnote w:type="continuationSeparator" w:id="1">
    <w:p w:rsidR="0094031F" w:rsidRDefault="0094031F" w:rsidP="005F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B4E" w:rsidRPr="00B7036B" w:rsidRDefault="00B337D8" w:rsidP="00B7036B">
    <w:pPr>
      <w:pStyle w:val="En-tte"/>
      <w:rPr>
        <w:rFonts w:asciiTheme="majorHAnsi" w:hAnsiTheme="majorHAnsi"/>
        <w:i/>
        <w:iCs/>
      </w:rPr>
    </w:pPr>
    <w:r>
      <w:rPr>
        <w:rFonts w:asciiTheme="majorHAnsi" w:hAnsiTheme="majorHAnsi"/>
        <w:i/>
        <w:iCs/>
        <w:sz w:val="28"/>
        <w:szCs w:val="28"/>
      </w:rPr>
      <w:t>TD 02</w:t>
    </w:r>
    <w:r w:rsidR="00E14B4E" w:rsidRPr="00E14B4E">
      <w:rPr>
        <w:rFonts w:asciiTheme="majorHAnsi" w:hAnsiTheme="majorHAnsi"/>
        <w:i/>
        <w:iCs/>
        <w:sz w:val="28"/>
        <w:szCs w:val="28"/>
      </w:rPr>
      <w:t xml:space="preserve">. </w:t>
    </w:r>
    <w:r w:rsidR="00B7036B" w:rsidRPr="00B7036B">
      <w:rPr>
        <w:rFonts w:asciiTheme="majorHAnsi" w:hAnsiTheme="majorHAnsi"/>
        <w:i/>
        <w:iCs/>
      </w:rPr>
      <w:t>Gestion durable des ressources en eau, Master 1 protection des écosystèmes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7C42"/>
    <w:multiLevelType w:val="hybridMultilevel"/>
    <w:tmpl w:val="F8880440"/>
    <w:lvl w:ilvl="0" w:tplc="BD82CC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B44E2"/>
    <w:multiLevelType w:val="hybridMultilevel"/>
    <w:tmpl w:val="E20A519E"/>
    <w:lvl w:ilvl="0" w:tplc="94B09D6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182DAD"/>
    <w:multiLevelType w:val="hybridMultilevel"/>
    <w:tmpl w:val="734C92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E1408"/>
    <w:multiLevelType w:val="hybridMultilevel"/>
    <w:tmpl w:val="9FD665B0"/>
    <w:lvl w:ilvl="0" w:tplc="F8FEB4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93C79"/>
    <w:multiLevelType w:val="hybridMultilevel"/>
    <w:tmpl w:val="E5BA9778"/>
    <w:lvl w:ilvl="0" w:tplc="040C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F13E4"/>
    <w:multiLevelType w:val="hybridMultilevel"/>
    <w:tmpl w:val="4086E3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244F"/>
    <w:rsid w:val="0037138E"/>
    <w:rsid w:val="004B766E"/>
    <w:rsid w:val="005F6EE8"/>
    <w:rsid w:val="007119E3"/>
    <w:rsid w:val="0076244F"/>
    <w:rsid w:val="00783B6D"/>
    <w:rsid w:val="007D548C"/>
    <w:rsid w:val="008748FD"/>
    <w:rsid w:val="00880E1D"/>
    <w:rsid w:val="0094031F"/>
    <w:rsid w:val="009E138E"/>
    <w:rsid w:val="00B337D8"/>
    <w:rsid w:val="00B7036B"/>
    <w:rsid w:val="00C25D22"/>
    <w:rsid w:val="00CE6235"/>
    <w:rsid w:val="00D356EA"/>
    <w:rsid w:val="00DE0200"/>
    <w:rsid w:val="00E1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2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markedcontent">
    <w:name w:val="markedcontent"/>
    <w:basedOn w:val="Policepardfaut"/>
    <w:rsid w:val="0076244F"/>
  </w:style>
  <w:style w:type="paragraph" w:styleId="Paragraphedeliste">
    <w:name w:val="List Paragraph"/>
    <w:basedOn w:val="Normal"/>
    <w:uiPriority w:val="34"/>
    <w:qFormat/>
    <w:rsid w:val="0076244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6EE8"/>
  </w:style>
  <w:style w:type="paragraph" w:styleId="Pieddepage">
    <w:name w:val="footer"/>
    <w:basedOn w:val="Normal"/>
    <w:link w:val="PieddepageCar"/>
    <w:uiPriority w:val="99"/>
    <w:unhideWhenUsed/>
    <w:rsid w:val="005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6E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669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Bouchareb</dc:creator>
  <cp:lastModifiedBy>Bouchareb</cp:lastModifiedBy>
  <cp:revision>6</cp:revision>
  <cp:lastPrinted>2022-10-23T09:25:00Z</cp:lastPrinted>
  <dcterms:created xsi:type="dcterms:W3CDTF">2022-10-23T08:24:00Z</dcterms:created>
  <dcterms:modified xsi:type="dcterms:W3CDTF">2022-12-22T14:28:00Z</dcterms:modified>
</cp:coreProperties>
</file>