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7CA" w:rsidRDefault="00F077CA" w:rsidP="00F077CA">
      <w:pPr>
        <w:spacing w:after="0"/>
        <w:jc w:val="center"/>
        <w:rPr>
          <w:rFonts w:ascii="Cambria-Italic" w:hAnsi="Cambria-Italic"/>
          <w:i/>
          <w:iCs/>
          <w:sz w:val="96"/>
          <w:szCs w:val="96"/>
        </w:rPr>
      </w:pPr>
    </w:p>
    <w:p w:rsidR="00F077CA" w:rsidRDefault="00F077CA" w:rsidP="00F077CA">
      <w:pPr>
        <w:spacing w:after="0"/>
        <w:jc w:val="center"/>
        <w:rPr>
          <w:rFonts w:ascii="Cambria-Italic" w:hAnsi="Cambria-Italic"/>
          <w:i/>
          <w:iCs/>
          <w:sz w:val="96"/>
          <w:szCs w:val="96"/>
        </w:rPr>
      </w:pPr>
    </w:p>
    <w:p w:rsidR="00F077CA" w:rsidRDefault="007F16E0" w:rsidP="007F16E0">
      <w:pPr>
        <w:tabs>
          <w:tab w:val="left" w:pos="7545"/>
        </w:tabs>
        <w:spacing w:after="0"/>
        <w:rPr>
          <w:rFonts w:ascii="Cambria-Italic" w:hAnsi="Cambria-Italic"/>
          <w:i/>
          <w:iCs/>
          <w:sz w:val="96"/>
          <w:szCs w:val="96"/>
        </w:rPr>
      </w:pPr>
      <w:r>
        <w:rPr>
          <w:rFonts w:ascii="Cambria-Italic" w:hAnsi="Cambria-Italic"/>
          <w:i/>
          <w:iCs/>
          <w:sz w:val="96"/>
          <w:szCs w:val="96"/>
        </w:rPr>
        <w:tab/>
      </w:r>
    </w:p>
    <w:p w:rsidR="00F077CA" w:rsidRDefault="00F077CA" w:rsidP="00F077CA">
      <w:pPr>
        <w:spacing w:after="0"/>
        <w:jc w:val="center"/>
        <w:rPr>
          <w:rFonts w:ascii="Cambria-Italic" w:hAnsi="Cambria-Italic"/>
          <w:i/>
          <w:iCs/>
          <w:sz w:val="96"/>
          <w:szCs w:val="96"/>
        </w:rPr>
      </w:pPr>
    </w:p>
    <w:p w:rsidR="00F077CA" w:rsidRPr="001F66F0" w:rsidRDefault="00F077CA" w:rsidP="0064530F">
      <w:pPr>
        <w:spacing w:after="0"/>
        <w:jc w:val="center"/>
        <w:rPr>
          <w:rFonts w:ascii="Cambria-Italic" w:hAnsi="Cambria-Italic"/>
          <w:b/>
          <w:bCs/>
          <w:i/>
          <w:iCs/>
          <w:sz w:val="96"/>
          <w:szCs w:val="96"/>
          <w:u w:val="single"/>
        </w:rPr>
      </w:pPr>
      <w:r w:rsidRPr="001F66F0">
        <w:rPr>
          <w:rFonts w:ascii="Cambria-Italic" w:hAnsi="Cambria-Italic"/>
          <w:b/>
          <w:bCs/>
          <w:i/>
          <w:iCs/>
          <w:sz w:val="96"/>
          <w:szCs w:val="96"/>
          <w:u w:val="single"/>
        </w:rPr>
        <w:t>Chapitre 0</w:t>
      </w:r>
      <w:r w:rsidR="0064530F">
        <w:rPr>
          <w:rFonts w:ascii="Cambria-Italic" w:hAnsi="Cambria-Italic"/>
          <w:b/>
          <w:bCs/>
          <w:i/>
          <w:iCs/>
          <w:sz w:val="96"/>
          <w:szCs w:val="96"/>
          <w:u w:val="single"/>
        </w:rPr>
        <w:t>4</w:t>
      </w:r>
    </w:p>
    <w:p w:rsidR="00B77116" w:rsidRPr="0064530F" w:rsidRDefault="00F077CA" w:rsidP="0064530F">
      <w:pPr>
        <w:spacing w:after="0"/>
        <w:jc w:val="center"/>
        <w:rPr>
          <w:rFonts w:ascii="Cambria-BoldItalic" w:hAnsi="Cambria-BoldItalic"/>
          <w:i/>
          <w:iCs/>
          <w:sz w:val="72"/>
          <w:szCs w:val="72"/>
        </w:rPr>
      </w:pPr>
      <w:r w:rsidRPr="00F819EB">
        <w:rPr>
          <w:rFonts w:ascii="Cambria-Italic" w:hAnsi="Cambria-Italic"/>
          <w:sz w:val="96"/>
          <w:szCs w:val="96"/>
        </w:rPr>
        <w:br/>
      </w:r>
      <w:r w:rsidR="0064530F" w:rsidRPr="0064530F">
        <w:rPr>
          <w:rFonts w:ascii="Cambria-BoldItalic" w:hAnsi="Cambria-BoldItalic"/>
          <w:i/>
          <w:iCs/>
          <w:sz w:val="72"/>
          <w:szCs w:val="72"/>
        </w:rPr>
        <w:t>Techniques</w:t>
      </w:r>
      <w:r w:rsidR="0064530F">
        <w:rPr>
          <w:rFonts w:ascii="Cambria-BoldItalic" w:hAnsi="Cambria-BoldItalic"/>
          <w:i/>
          <w:iCs/>
          <w:sz w:val="72"/>
          <w:szCs w:val="72"/>
        </w:rPr>
        <w:t xml:space="preserve"> d</w:t>
      </w:r>
      <w:r w:rsidR="0064530F" w:rsidRPr="0064530F">
        <w:rPr>
          <w:rFonts w:ascii="Cambria-BoldItalic" w:hAnsi="Cambria-BoldItalic"/>
          <w:i/>
          <w:iCs/>
          <w:sz w:val="72"/>
          <w:szCs w:val="72"/>
        </w:rPr>
        <w:t>’assemblage</w:t>
      </w:r>
    </w:p>
    <w:p w:rsidR="00B77116" w:rsidRDefault="00B77116" w:rsidP="00F077CA">
      <w:pPr>
        <w:spacing w:after="0"/>
        <w:jc w:val="center"/>
        <w:rPr>
          <w:rFonts w:ascii="Cambria-BoldItalic" w:hAnsi="Cambria-BoldItalic"/>
          <w:b/>
          <w:bCs/>
          <w:i/>
          <w:iCs/>
          <w:sz w:val="72"/>
          <w:szCs w:val="72"/>
        </w:rPr>
      </w:pPr>
    </w:p>
    <w:p w:rsidR="00B77116" w:rsidRDefault="00B77116" w:rsidP="00F077CA">
      <w:pPr>
        <w:spacing w:after="0"/>
        <w:jc w:val="center"/>
        <w:rPr>
          <w:rFonts w:ascii="Cambria-BoldItalic" w:hAnsi="Cambria-BoldItalic"/>
          <w:b/>
          <w:bCs/>
          <w:i/>
          <w:iCs/>
          <w:sz w:val="72"/>
          <w:szCs w:val="72"/>
        </w:rPr>
      </w:pPr>
    </w:p>
    <w:p w:rsidR="00B77116" w:rsidRDefault="00B77116" w:rsidP="00F077CA">
      <w:pPr>
        <w:spacing w:after="0"/>
        <w:jc w:val="center"/>
        <w:rPr>
          <w:rFonts w:ascii="Cambria-BoldItalic" w:hAnsi="Cambria-BoldItalic"/>
          <w:b/>
          <w:bCs/>
          <w:i/>
          <w:iCs/>
          <w:sz w:val="72"/>
          <w:szCs w:val="72"/>
        </w:rPr>
      </w:pPr>
    </w:p>
    <w:p w:rsidR="00B77116" w:rsidRDefault="00B77116" w:rsidP="00F077CA">
      <w:pPr>
        <w:spacing w:after="0"/>
        <w:jc w:val="center"/>
        <w:rPr>
          <w:rFonts w:ascii="Cambria-BoldItalic" w:hAnsi="Cambria-BoldItalic"/>
          <w:b/>
          <w:bCs/>
          <w:i/>
          <w:iCs/>
          <w:sz w:val="72"/>
          <w:szCs w:val="72"/>
        </w:rPr>
      </w:pPr>
    </w:p>
    <w:p w:rsidR="00B77116" w:rsidRDefault="00B77116" w:rsidP="00F077CA">
      <w:pPr>
        <w:spacing w:after="0"/>
        <w:jc w:val="center"/>
        <w:rPr>
          <w:rFonts w:ascii="Cambria-BoldItalic" w:hAnsi="Cambria-BoldItalic"/>
          <w:b/>
          <w:bCs/>
          <w:i/>
          <w:iCs/>
          <w:sz w:val="72"/>
          <w:szCs w:val="72"/>
        </w:rPr>
      </w:pPr>
    </w:p>
    <w:p w:rsidR="0064530F" w:rsidRDefault="0064530F" w:rsidP="00F077CA">
      <w:pPr>
        <w:spacing w:after="0"/>
        <w:jc w:val="center"/>
        <w:rPr>
          <w:rFonts w:ascii="Cambria-BoldItalic" w:hAnsi="Cambria-BoldItalic"/>
          <w:b/>
          <w:bCs/>
          <w:i/>
          <w:iCs/>
          <w:sz w:val="72"/>
          <w:szCs w:val="72"/>
        </w:rPr>
      </w:pPr>
    </w:p>
    <w:p w:rsidR="0064530F" w:rsidRDefault="0064530F" w:rsidP="00F077CA">
      <w:pPr>
        <w:spacing w:after="0"/>
        <w:jc w:val="center"/>
        <w:rPr>
          <w:rFonts w:ascii="Cambria-BoldItalic" w:hAnsi="Cambria-BoldItalic"/>
          <w:b/>
          <w:bCs/>
          <w:i/>
          <w:iCs/>
          <w:sz w:val="72"/>
          <w:szCs w:val="72"/>
        </w:rPr>
      </w:pPr>
    </w:p>
    <w:p w:rsidR="0064530F" w:rsidRDefault="0064530F" w:rsidP="00F077CA">
      <w:pPr>
        <w:spacing w:after="0"/>
        <w:jc w:val="center"/>
        <w:rPr>
          <w:rFonts w:ascii="Cambria-BoldItalic" w:hAnsi="Cambria-BoldItalic"/>
          <w:b/>
          <w:bCs/>
          <w:i/>
          <w:iCs/>
          <w:sz w:val="72"/>
          <w:szCs w:val="72"/>
        </w:rPr>
      </w:pPr>
    </w:p>
    <w:p w:rsidR="009B4DE3" w:rsidRDefault="009B4DE3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9B4DE3">
        <w:rPr>
          <w:rFonts w:ascii="Cambria" w:hAnsi="Cambria"/>
          <w:color w:val="000000"/>
          <w:sz w:val="24"/>
          <w:szCs w:val="24"/>
        </w:rPr>
        <w:lastRenderedPageBreak/>
        <w:t>Un assemblage mécanique est la liaison de différentes pièces d'un ensemble ou produit. C’est aussi un ensemble de procédés et solutions techniques permettant d’obtenir ces liaisons.</w:t>
      </w:r>
    </w:p>
    <w:p w:rsidR="006574CB" w:rsidRPr="006574CB" w:rsidRDefault="008B6C54" w:rsidP="00EB2E7E">
      <w:pPr>
        <w:spacing w:after="0" w:line="360" w:lineRule="auto"/>
        <w:ind w:firstLine="708"/>
        <w:jc w:val="both"/>
        <w:rPr>
          <w:rFonts w:ascii="Cambria" w:hAnsi="Cambria"/>
          <w:b/>
          <w:bCs/>
          <w:color w:val="000000"/>
          <w:sz w:val="32"/>
          <w:szCs w:val="32"/>
        </w:rPr>
      </w:pPr>
      <w:r w:rsidRPr="008B6C54">
        <w:rPr>
          <w:rFonts w:ascii="Cambria" w:hAnsi="Cambria"/>
          <w:color w:val="000000"/>
          <w:sz w:val="24"/>
          <w:szCs w:val="24"/>
        </w:rPr>
        <w:br/>
      </w:r>
      <w:r w:rsidR="006574CB" w:rsidRPr="006574CB">
        <w:rPr>
          <w:rFonts w:ascii="Cambria" w:hAnsi="Cambria"/>
          <w:b/>
          <w:bCs/>
          <w:color w:val="000000"/>
          <w:sz w:val="32"/>
          <w:szCs w:val="32"/>
        </w:rPr>
        <w:t>1</w:t>
      </w:r>
      <w:r w:rsidR="00A04F07">
        <w:rPr>
          <w:rFonts w:ascii="Cambria" w:hAnsi="Cambria"/>
          <w:b/>
          <w:bCs/>
          <w:color w:val="000000"/>
          <w:sz w:val="32"/>
          <w:szCs w:val="32"/>
        </w:rPr>
        <w:t>-</w:t>
      </w:r>
      <w:r w:rsidR="006574CB" w:rsidRPr="006574CB">
        <w:rPr>
          <w:rFonts w:ascii="Cambria" w:hAnsi="Cambria"/>
          <w:b/>
          <w:bCs/>
          <w:color w:val="000000"/>
          <w:sz w:val="32"/>
          <w:szCs w:val="32"/>
        </w:rPr>
        <w:t xml:space="preserve"> Degré d'assemblage</w:t>
      </w:r>
    </w:p>
    <w:p w:rsidR="006574CB" w:rsidRDefault="006574CB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6574CB">
        <w:rPr>
          <w:rFonts w:ascii="Cambria" w:hAnsi="Cambria"/>
          <w:color w:val="000000"/>
          <w:sz w:val="24"/>
          <w:szCs w:val="24"/>
        </w:rPr>
        <w:t>On distingue avant tout un assemblage par ses degrés de liaison, c’est-à-dire les</w:t>
      </w:r>
      <w:r w:rsidRPr="006574CB">
        <w:rPr>
          <w:rFonts w:ascii="Cambria" w:hAnsi="Cambria"/>
          <w:color w:val="000000"/>
          <w:sz w:val="24"/>
          <w:szCs w:val="24"/>
        </w:rPr>
        <w:t xml:space="preserve"> </w:t>
      </w:r>
      <w:r w:rsidRPr="006574CB">
        <w:rPr>
          <w:rFonts w:ascii="Cambria" w:hAnsi="Cambria"/>
          <w:color w:val="000000"/>
          <w:sz w:val="24"/>
          <w:szCs w:val="24"/>
        </w:rPr>
        <w:t>mouvements relatifs indépendants interdits ou autorisés entre les pièces assemblées.</w:t>
      </w:r>
    </w:p>
    <w:p w:rsidR="007E0C4C" w:rsidRPr="006574CB" w:rsidRDefault="007E0C4C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</w:p>
    <w:p w:rsidR="006574CB" w:rsidRPr="006574CB" w:rsidRDefault="006574CB" w:rsidP="00EB2E7E">
      <w:pPr>
        <w:spacing w:after="0" w:line="360" w:lineRule="auto"/>
        <w:jc w:val="both"/>
        <w:rPr>
          <w:rFonts w:ascii="Cambria" w:hAnsi="Cambria"/>
          <w:b/>
          <w:bCs/>
          <w:color w:val="000000"/>
          <w:sz w:val="32"/>
          <w:szCs w:val="32"/>
        </w:rPr>
      </w:pPr>
      <w:r w:rsidRPr="006574CB">
        <w:rPr>
          <w:rFonts w:ascii="Cambria" w:hAnsi="Cambria"/>
          <w:b/>
          <w:bCs/>
          <w:color w:val="000000"/>
          <w:sz w:val="32"/>
          <w:szCs w:val="32"/>
        </w:rPr>
        <w:t>2</w:t>
      </w:r>
      <w:r w:rsidR="00A04F07">
        <w:rPr>
          <w:rFonts w:ascii="Cambria" w:hAnsi="Cambria"/>
          <w:b/>
          <w:bCs/>
          <w:color w:val="000000"/>
          <w:sz w:val="32"/>
          <w:szCs w:val="32"/>
        </w:rPr>
        <w:t>-</w:t>
      </w:r>
      <w:bookmarkStart w:id="0" w:name="_GoBack"/>
      <w:bookmarkEnd w:id="0"/>
      <w:r w:rsidRPr="006574CB">
        <w:rPr>
          <w:rFonts w:ascii="Cambria" w:hAnsi="Cambria"/>
          <w:b/>
          <w:bCs/>
          <w:color w:val="000000"/>
          <w:sz w:val="32"/>
          <w:szCs w:val="32"/>
        </w:rPr>
        <w:t xml:space="preserve"> Types d'assemblages</w:t>
      </w:r>
    </w:p>
    <w:p w:rsidR="006574CB" w:rsidRDefault="006574CB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6574CB">
        <w:rPr>
          <w:rFonts w:ascii="Cambria" w:hAnsi="Cambria"/>
          <w:color w:val="000000"/>
          <w:sz w:val="24"/>
          <w:szCs w:val="24"/>
        </w:rPr>
        <w:t>On distingue ensuite différents types d'assemblage, un assemblage peut être</w:t>
      </w:r>
      <w:r w:rsidRPr="006574CB">
        <w:rPr>
          <w:rFonts w:ascii="Cambria" w:hAnsi="Cambria"/>
          <w:color w:val="000000"/>
          <w:sz w:val="24"/>
          <w:szCs w:val="24"/>
        </w:rPr>
        <w:t xml:space="preserve"> </w:t>
      </w:r>
      <w:r w:rsidRPr="006574CB">
        <w:rPr>
          <w:rFonts w:ascii="Cambria" w:hAnsi="Cambria"/>
          <w:color w:val="000000"/>
          <w:sz w:val="24"/>
          <w:szCs w:val="24"/>
        </w:rPr>
        <w:t>permanent ou démontable, direct ou indirect.</w:t>
      </w:r>
    </w:p>
    <w:p w:rsidR="007E0C4C" w:rsidRPr="006574CB" w:rsidRDefault="007E0C4C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</w:p>
    <w:p w:rsidR="006574CB" w:rsidRPr="006574CB" w:rsidRDefault="006574CB" w:rsidP="00EB2E7E">
      <w:pPr>
        <w:spacing w:after="0" w:line="360" w:lineRule="auto"/>
        <w:jc w:val="both"/>
        <w:rPr>
          <w:rFonts w:ascii="Cambria" w:hAnsi="Cambria"/>
          <w:b/>
          <w:bCs/>
          <w:color w:val="000000"/>
          <w:sz w:val="28"/>
          <w:szCs w:val="28"/>
        </w:rPr>
      </w:pPr>
      <w:r w:rsidRPr="006574CB">
        <w:rPr>
          <w:rFonts w:ascii="Cambria" w:hAnsi="Cambria"/>
          <w:b/>
          <w:bCs/>
          <w:color w:val="000000"/>
          <w:sz w:val="28"/>
          <w:szCs w:val="28"/>
        </w:rPr>
        <w:t>2.1 Assemblage permanent</w:t>
      </w:r>
    </w:p>
    <w:p w:rsidR="006574CB" w:rsidRPr="006574CB" w:rsidRDefault="006574CB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6574CB">
        <w:rPr>
          <w:rFonts w:ascii="Cambria" w:hAnsi="Cambria"/>
          <w:color w:val="000000"/>
          <w:sz w:val="24"/>
          <w:szCs w:val="24"/>
        </w:rPr>
        <w:t>Assemblage non démontable : pour supprimer cette liaison, il est nécessaire de</w:t>
      </w:r>
      <w:r w:rsidRPr="006574CB">
        <w:rPr>
          <w:rFonts w:ascii="Cambria" w:hAnsi="Cambria"/>
          <w:color w:val="000000"/>
          <w:sz w:val="24"/>
          <w:szCs w:val="24"/>
        </w:rPr>
        <w:t xml:space="preserve"> </w:t>
      </w:r>
      <w:r w:rsidRPr="006574CB">
        <w:rPr>
          <w:rFonts w:ascii="Cambria" w:hAnsi="Cambria"/>
          <w:color w:val="000000"/>
          <w:sz w:val="24"/>
          <w:szCs w:val="24"/>
        </w:rPr>
        <w:t>déformer ou de détruire au moins une des pièces formant l'assemblage.</w:t>
      </w:r>
    </w:p>
    <w:p w:rsidR="006574CB" w:rsidRPr="00370D2D" w:rsidRDefault="006574CB" w:rsidP="00EB2E7E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Soudure</w:t>
      </w:r>
    </w:p>
    <w:p w:rsidR="006574CB" w:rsidRPr="00370D2D" w:rsidRDefault="006574CB" w:rsidP="00EB2E7E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Clinchage (emboutissage)</w:t>
      </w:r>
    </w:p>
    <w:p w:rsidR="006574CB" w:rsidRPr="00370D2D" w:rsidRDefault="006574CB" w:rsidP="00EB2E7E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Emmanchement à force</w:t>
      </w:r>
    </w:p>
    <w:p w:rsidR="006574CB" w:rsidRPr="00370D2D" w:rsidRDefault="006574CB" w:rsidP="00EB2E7E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Certains frettages, certaines colles et adhésifs</w:t>
      </w:r>
    </w:p>
    <w:p w:rsidR="006574CB" w:rsidRPr="00370D2D" w:rsidRDefault="006574CB" w:rsidP="00EB2E7E">
      <w:pPr>
        <w:pStyle w:val="Paragraphedeliste"/>
        <w:numPr>
          <w:ilvl w:val="0"/>
          <w:numId w:val="9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Sertissage…</w:t>
      </w:r>
    </w:p>
    <w:p w:rsidR="007E0C4C" w:rsidRPr="006574CB" w:rsidRDefault="007E0C4C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</w:p>
    <w:p w:rsidR="006574CB" w:rsidRPr="006574CB" w:rsidRDefault="006574CB" w:rsidP="00EB2E7E">
      <w:pPr>
        <w:spacing w:after="0" w:line="360" w:lineRule="auto"/>
        <w:jc w:val="both"/>
        <w:rPr>
          <w:rFonts w:ascii="Cambria" w:hAnsi="Cambria"/>
          <w:b/>
          <w:bCs/>
          <w:color w:val="000000"/>
          <w:sz w:val="28"/>
          <w:szCs w:val="28"/>
        </w:rPr>
      </w:pPr>
      <w:r w:rsidRPr="006574CB">
        <w:rPr>
          <w:rFonts w:ascii="Cambria" w:hAnsi="Cambria"/>
          <w:b/>
          <w:bCs/>
          <w:color w:val="000000"/>
          <w:sz w:val="28"/>
          <w:szCs w:val="28"/>
        </w:rPr>
        <w:t>2.2 Assemblage démontable</w:t>
      </w:r>
    </w:p>
    <w:p w:rsidR="006574CB" w:rsidRPr="006574CB" w:rsidRDefault="006574CB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6574CB">
        <w:rPr>
          <w:rFonts w:ascii="Cambria" w:hAnsi="Cambria"/>
          <w:color w:val="000000"/>
          <w:sz w:val="24"/>
          <w:szCs w:val="24"/>
        </w:rPr>
        <w:t>La liaison est conçue de manière à être démontée sans détérioration importante des</w:t>
      </w:r>
      <w:r w:rsidRPr="006574CB">
        <w:rPr>
          <w:rFonts w:ascii="Cambria" w:hAnsi="Cambria"/>
          <w:color w:val="000000"/>
          <w:sz w:val="24"/>
          <w:szCs w:val="24"/>
        </w:rPr>
        <w:t xml:space="preserve"> </w:t>
      </w:r>
      <w:r w:rsidRPr="006574CB">
        <w:rPr>
          <w:rFonts w:ascii="Cambria" w:hAnsi="Cambria"/>
          <w:color w:val="000000"/>
          <w:sz w:val="24"/>
          <w:szCs w:val="24"/>
        </w:rPr>
        <w:t>pièces qui peuvent être généralement réutilisées pour recréer un assemblage.</w:t>
      </w:r>
      <w:r w:rsidRPr="006574CB">
        <w:rPr>
          <w:rFonts w:ascii="Cambria" w:hAnsi="Cambria"/>
          <w:color w:val="000000"/>
          <w:sz w:val="24"/>
          <w:szCs w:val="24"/>
        </w:rPr>
        <w:t xml:space="preserve"> </w:t>
      </w:r>
      <w:r w:rsidRPr="006574CB">
        <w:rPr>
          <w:rFonts w:ascii="Cambria" w:hAnsi="Cambria"/>
          <w:color w:val="000000"/>
          <w:sz w:val="24"/>
          <w:szCs w:val="24"/>
        </w:rPr>
        <w:t>L'élément assurant la liaison peut ne pas être réutilisable.</w:t>
      </w:r>
    </w:p>
    <w:p w:rsidR="006574CB" w:rsidRPr="00370D2D" w:rsidRDefault="006574CB" w:rsidP="00EB2E7E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Vissage (Vis-écrou)</w:t>
      </w:r>
    </w:p>
    <w:p w:rsidR="006574CB" w:rsidRPr="00370D2D" w:rsidRDefault="006574CB" w:rsidP="00EB2E7E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Boulonnage</w:t>
      </w:r>
    </w:p>
    <w:p w:rsidR="006574CB" w:rsidRPr="00370D2D" w:rsidRDefault="006574CB" w:rsidP="00EB2E7E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Goujons</w:t>
      </w:r>
    </w:p>
    <w:p w:rsidR="006574CB" w:rsidRPr="00370D2D" w:rsidRDefault="006574CB" w:rsidP="00EB2E7E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Clavette (transversale/Longitudinale/ tangentielle)</w:t>
      </w:r>
    </w:p>
    <w:p w:rsidR="006574CB" w:rsidRPr="00370D2D" w:rsidRDefault="006574CB" w:rsidP="00EB2E7E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Arc-boutement, Serre-joints</w:t>
      </w:r>
    </w:p>
    <w:p w:rsidR="006574CB" w:rsidRPr="00370D2D" w:rsidRDefault="006574CB" w:rsidP="00EB2E7E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Goupille</w:t>
      </w:r>
    </w:p>
    <w:p w:rsidR="006574CB" w:rsidRPr="00370D2D" w:rsidRDefault="006574CB" w:rsidP="00EB2E7E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Coincement de formes coniques</w:t>
      </w:r>
    </w:p>
    <w:p w:rsidR="006574CB" w:rsidRPr="00370D2D" w:rsidRDefault="006574CB" w:rsidP="00EB2E7E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Certains frettages</w:t>
      </w:r>
    </w:p>
    <w:p w:rsidR="00A04240" w:rsidRPr="00370D2D" w:rsidRDefault="006574CB" w:rsidP="00EB2E7E">
      <w:pPr>
        <w:pStyle w:val="Paragraphedeliste"/>
        <w:numPr>
          <w:ilvl w:val="0"/>
          <w:numId w:val="7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 xml:space="preserve">Certains colles et </w:t>
      </w:r>
      <w:r w:rsidR="00E25C77" w:rsidRPr="00370D2D">
        <w:rPr>
          <w:rFonts w:ascii="Cambria" w:hAnsi="Cambria"/>
          <w:color w:val="000000"/>
          <w:sz w:val="24"/>
          <w:szCs w:val="24"/>
        </w:rPr>
        <w:t>adhésives</w:t>
      </w:r>
    </w:p>
    <w:p w:rsidR="00370D2D" w:rsidRDefault="00370D2D" w:rsidP="00EB2E7E">
      <w:p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</w:p>
    <w:p w:rsidR="00370D2D" w:rsidRDefault="00370D2D" w:rsidP="00EB2E7E">
      <w:p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</w:p>
    <w:p w:rsidR="00370D2D" w:rsidRPr="00370D2D" w:rsidRDefault="00370D2D" w:rsidP="00EB2E7E">
      <w:pPr>
        <w:spacing w:after="0" w:line="360" w:lineRule="auto"/>
        <w:jc w:val="both"/>
        <w:rPr>
          <w:rFonts w:ascii="Cambria" w:hAnsi="Cambria"/>
          <w:b/>
          <w:bCs/>
          <w:color w:val="000000"/>
          <w:sz w:val="28"/>
          <w:szCs w:val="28"/>
        </w:rPr>
      </w:pPr>
      <w:r w:rsidRPr="00370D2D">
        <w:rPr>
          <w:rFonts w:ascii="Cambria" w:hAnsi="Cambria"/>
          <w:b/>
          <w:bCs/>
          <w:color w:val="000000"/>
          <w:sz w:val="28"/>
          <w:szCs w:val="28"/>
        </w:rPr>
        <w:lastRenderedPageBreak/>
        <w:t>2.3 Assemblage direct</w:t>
      </w:r>
    </w:p>
    <w:p w:rsidR="00370D2D" w:rsidRPr="00370D2D" w:rsidRDefault="00370D2D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L’assemblage ne nécessite aucune pièce intermédiaire, la forme des pièces en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370D2D">
        <w:rPr>
          <w:rFonts w:ascii="Cambria" w:hAnsi="Cambria"/>
          <w:color w:val="000000"/>
          <w:sz w:val="24"/>
          <w:szCs w:val="24"/>
        </w:rPr>
        <w:t>contact suffit pour la réalisation de celui-ci, parmi ces techniques on trouve :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370D2D">
        <w:rPr>
          <w:rFonts w:ascii="Cambria" w:hAnsi="Cambria"/>
          <w:color w:val="000000"/>
          <w:sz w:val="24"/>
          <w:szCs w:val="24"/>
        </w:rPr>
        <w:t xml:space="preserve">Le soudage, le Frettage, le Clinchage, Le Sertissage, l’Emboîtage </w:t>
      </w:r>
      <w:r w:rsidRPr="00370D2D">
        <w:rPr>
          <w:rFonts w:ascii="Cambria" w:hAnsi="Cambria"/>
          <w:color w:val="000000"/>
          <w:sz w:val="24"/>
          <w:szCs w:val="24"/>
        </w:rPr>
        <w:t>élastique.</w:t>
      </w:r>
    </w:p>
    <w:p w:rsidR="00370D2D" w:rsidRDefault="00370D2D" w:rsidP="00EB2E7E">
      <w:p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</w:p>
    <w:p w:rsidR="00370D2D" w:rsidRPr="00370D2D" w:rsidRDefault="00370D2D" w:rsidP="00EB2E7E">
      <w:pPr>
        <w:spacing w:after="0" w:line="360" w:lineRule="auto"/>
        <w:jc w:val="both"/>
        <w:rPr>
          <w:rFonts w:ascii="Cambria" w:hAnsi="Cambria"/>
          <w:b/>
          <w:bCs/>
          <w:color w:val="000000"/>
          <w:sz w:val="28"/>
          <w:szCs w:val="28"/>
        </w:rPr>
      </w:pPr>
      <w:r w:rsidRPr="00370D2D">
        <w:rPr>
          <w:rFonts w:ascii="Cambria" w:hAnsi="Cambria"/>
          <w:b/>
          <w:bCs/>
          <w:color w:val="000000"/>
          <w:sz w:val="28"/>
          <w:szCs w:val="28"/>
        </w:rPr>
        <w:t>2.4 Assemblage indirect</w:t>
      </w:r>
    </w:p>
    <w:p w:rsidR="00370D2D" w:rsidRPr="00370D2D" w:rsidRDefault="00370D2D" w:rsidP="00EB2E7E">
      <w:pPr>
        <w:spacing w:after="0" w:line="360" w:lineRule="auto"/>
        <w:ind w:firstLine="360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Une ou plusieurs pièces intermédiaires sont utilisées.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Visserie : vis, écrou, boulon, goujon, filetage, taraudage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Rivet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Clavette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Collage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Goupille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Embrèvement (avec tenon, mortaise et cheville)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Bague de tolérance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Anneau élastique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Clou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Agrafage</w:t>
      </w:r>
    </w:p>
    <w:p w:rsidR="00370D2D" w:rsidRPr="00370D2D" w:rsidRDefault="00370D2D" w:rsidP="00EB2E7E">
      <w:pPr>
        <w:spacing w:after="0" w:line="360" w:lineRule="auto"/>
        <w:ind w:firstLine="360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On peut aussi distinguer le type d'assemblage par domaine d'activité :</w:t>
      </w:r>
    </w:p>
    <w:p w:rsidR="00370D2D" w:rsidRPr="00370D2D" w:rsidRDefault="00370D2D" w:rsidP="00EB2E7E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Menuiserie (bois, aluminium,…) - Systèmes de fixation, Transmission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370D2D">
        <w:rPr>
          <w:rFonts w:ascii="Cambria" w:hAnsi="Cambria"/>
          <w:color w:val="000000"/>
          <w:sz w:val="24"/>
          <w:szCs w:val="24"/>
        </w:rPr>
        <w:t>(mécanique)..</w:t>
      </w:r>
    </w:p>
    <w:p w:rsidR="00370D2D" w:rsidRDefault="00370D2D" w:rsidP="00EB2E7E">
      <w:pPr>
        <w:pStyle w:val="Paragraphedeliste"/>
        <w:numPr>
          <w:ilvl w:val="0"/>
          <w:numId w:val="10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Plomberie :</w:t>
      </w:r>
      <w:r w:rsidRPr="00370D2D">
        <w:rPr>
          <w:rFonts w:ascii="Cambria" w:hAnsi="Cambria"/>
          <w:color w:val="000000"/>
          <w:sz w:val="24"/>
          <w:szCs w:val="24"/>
        </w:rPr>
        <w:t xml:space="preserve"> Robinetterie, Emboîture… - Charpenterie</w:t>
      </w:r>
    </w:p>
    <w:p w:rsidR="00370D2D" w:rsidRPr="00370D2D" w:rsidRDefault="00370D2D" w:rsidP="00EB2E7E">
      <w:p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</w:p>
    <w:p w:rsidR="00370D2D" w:rsidRPr="00370D2D" w:rsidRDefault="00370D2D" w:rsidP="00EB2E7E">
      <w:pPr>
        <w:spacing w:after="0" w:line="360" w:lineRule="auto"/>
        <w:jc w:val="both"/>
        <w:rPr>
          <w:rFonts w:ascii="Cambria" w:hAnsi="Cambria"/>
          <w:b/>
          <w:bCs/>
          <w:color w:val="000000"/>
          <w:sz w:val="32"/>
          <w:szCs w:val="32"/>
        </w:rPr>
      </w:pPr>
      <w:r w:rsidRPr="00370D2D">
        <w:rPr>
          <w:rFonts w:ascii="Cambria" w:hAnsi="Cambria"/>
          <w:b/>
          <w:bCs/>
          <w:color w:val="000000"/>
          <w:sz w:val="32"/>
          <w:szCs w:val="32"/>
        </w:rPr>
        <w:t>3</w:t>
      </w:r>
      <w:r w:rsidR="00A04F07">
        <w:rPr>
          <w:rFonts w:ascii="Cambria" w:hAnsi="Cambria"/>
          <w:b/>
          <w:bCs/>
          <w:color w:val="000000"/>
          <w:sz w:val="32"/>
          <w:szCs w:val="32"/>
        </w:rPr>
        <w:t>-</w:t>
      </w:r>
      <w:r w:rsidRPr="00370D2D">
        <w:rPr>
          <w:rFonts w:ascii="Cambria" w:hAnsi="Cambria"/>
          <w:b/>
          <w:bCs/>
          <w:color w:val="000000"/>
          <w:sz w:val="32"/>
          <w:szCs w:val="32"/>
        </w:rPr>
        <w:t xml:space="preserve"> Exemples d'assemblages</w:t>
      </w:r>
    </w:p>
    <w:p w:rsidR="00370D2D" w:rsidRPr="00370D2D" w:rsidRDefault="00370D2D" w:rsidP="00EB2E7E">
      <w:pPr>
        <w:spacing w:after="0" w:line="360" w:lineRule="auto"/>
        <w:jc w:val="both"/>
        <w:rPr>
          <w:rFonts w:ascii="Cambria" w:hAnsi="Cambria"/>
          <w:b/>
          <w:bCs/>
          <w:color w:val="000000"/>
          <w:sz w:val="28"/>
          <w:szCs w:val="28"/>
        </w:rPr>
      </w:pPr>
      <w:r w:rsidRPr="00370D2D">
        <w:rPr>
          <w:rFonts w:ascii="Cambria" w:hAnsi="Cambria"/>
          <w:b/>
          <w:bCs/>
          <w:color w:val="000000"/>
          <w:sz w:val="28"/>
          <w:szCs w:val="28"/>
        </w:rPr>
        <w:t>3.1 Soudage</w:t>
      </w:r>
    </w:p>
    <w:p w:rsidR="00370D2D" w:rsidRPr="00370D2D" w:rsidRDefault="00370D2D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Le soudage est un procédé d’assemblage qui assure la liaison permanente de divers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370D2D">
        <w:rPr>
          <w:rFonts w:ascii="Cambria" w:hAnsi="Cambria"/>
          <w:color w:val="000000"/>
          <w:sz w:val="24"/>
          <w:szCs w:val="24"/>
        </w:rPr>
        <w:t>éléments métalliques.</w:t>
      </w:r>
    </w:p>
    <w:p w:rsidR="00370D2D" w:rsidRPr="00370D2D" w:rsidRDefault="00370D2D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Il désigne deux techniques :</w:t>
      </w:r>
    </w:p>
    <w:p w:rsidR="00370D2D" w:rsidRPr="00370D2D" w:rsidRDefault="00370D2D" w:rsidP="00EB2E7E">
      <w:pPr>
        <w:pStyle w:val="Paragraphedeliste"/>
        <w:numPr>
          <w:ilvl w:val="0"/>
          <w:numId w:val="10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Le soudage hétérogène.</w:t>
      </w:r>
    </w:p>
    <w:p w:rsidR="00370D2D" w:rsidRDefault="00370D2D" w:rsidP="00EB2E7E">
      <w:pPr>
        <w:pStyle w:val="Paragraphedeliste"/>
        <w:numPr>
          <w:ilvl w:val="0"/>
          <w:numId w:val="10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370D2D">
        <w:rPr>
          <w:rFonts w:ascii="Cambria" w:hAnsi="Cambria"/>
          <w:color w:val="000000"/>
          <w:sz w:val="24"/>
          <w:szCs w:val="24"/>
        </w:rPr>
        <w:t>Le soudage autogène</w:t>
      </w:r>
    </w:p>
    <w:p w:rsidR="00960687" w:rsidRDefault="00960687" w:rsidP="00EB2E7E">
      <w:p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</w:p>
    <w:p w:rsidR="00960687" w:rsidRPr="00960687" w:rsidRDefault="00960687" w:rsidP="00EB2E7E">
      <w:pPr>
        <w:spacing w:after="0" w:line="360" w:lineRule="auto"/>
        <w:jc w:val="both"/>
        <w:rPr>
          <w:rFonts w:ascii="Cambria" w:hAnsi="Cambria"/>
          <w:b/>
          <w:bCs/>
          <w:color w:val="000000"/>
          <w:sz w:val="28"/>
          <w:szCs w:val="28"/>
        </w:rPr>
      </w:pPr>
      <w:r w:rsidRPr="00960687">
        <w:rPr>
          <w:rFonts w:ascii="Cambria" w:hAnsi="Cambria"/>
          <w:b/>
          <w:bCs/>
          <w:color w:val="000000"/>
          <w:sz w:val="28"/>
          <w:szCs w:val="28"/>
        </w:rPr>
        <w:t>3.1.1 Le soudage hétérogène (le Brasage)</w:t>
      </w:r>
    </w:p>
    <w:p w:rsidR="00960687" w:rsidRPr="00960687" w:rsidRDefault="00960687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960687">
        <w:rPr>
          <w:rFonts w:ascii="Cambria" w:hAnsi="Cambria"/>
          <w:color w:val="000000"/>
          <w:sz w:val="24"/>
          <w:szCs w:val="24"/>
        </w:rPr>
        <w:t>Il consiste à introduire entre les éléments à assembler, un métal liquide (qui, après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960687">
        <w:rPr>
          <w:rFonts w:ascii="Cambria" w:hAnsi="Cambria"/>
          <w:color w:val="000000"/>
          <w:sz w:val="24"/>
          <w:szCs w:val="24"/>
        </w:rPr>
        <w:t>refroidissement, adhère fortement aux deux éléments.</w:t>
      </w:r>
    </w:p>
    <w:p w:rsidR="00960687" w:rsidRPr="00960687" w:rsidRDefault="00960687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960687">
        <w:rPr>
          <w:rFonts w:ascii="Cambria" w:hAnsi="Cambria"/>
          <w:color w:val="000000"/>
          <w:sz w:val="24"/>
          <w:szCs w:val="24"/>
        </w:rPr>
        <w:t>Le soudeur dégraisse et décape les pièces à assembler. Le métal de ces pièces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960687">
        <w:rPr>
          <w:rFonts w:ascii="Cambria" w:hAnsi="Cambria"/>
          <w:color w:val="000000"/>
          <w:sz w:val="24"/>
          <w:szCs w:val="24"/>
        </w:rPr>
        <w:t>s’appelle « métal de base ».</w:t>
      </w:r>
    </w:p>
    <w:p w:rsidR="00960687" w:rsidRDefault="00960687" w:rsidP="00EB2E7E">
      <w:p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</w:p>
    <w:p w:rsidR="00960687" w:rsidRDefault="00960687" w:rsidP="00EB2E7E">
      <w:pPr>
        <w:spacing w:after="0" w:line="360" w:lineRule="auto"/>
        <w:jc w:val="center"/>
        <w:rPr>
          <w:rFonts w:ascii="Cambria" w:hAnsi="Cambria"/>
          <w:color w:val="000000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13BE0A7" wp14:editId="75B90D3B">
            <wp:extent cx="4676775" cy="13335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87" w:rsidRPr="00960687" w:rsidRDefault="00960687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960687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1</w:t>
      </w:r>
      <w:r w:rsidRPr="00960687">
        <w:rPr>
          <w:rFonts w:ascii="Cambria" w:hAnsi="Cambria"/>
          <w:b/>
          <w:bCs/>
          <w:color w:val="000000"/>
          <w:sz w:val="24"/>
          <w:szCs w:val="24"/>
        </w:rPr>
        <w:t>. Le Brasage</w:t>
      </w:r>
    </w:p>
    <w:p w:rsidR="00960687" w:rsidRPr="00960687" w:rsidRDefault="00960687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960687">
        <w:rPr>
          <w:rFonts w:ascii="Cambria" w:hAnsi="Cambria"/>
          <w:color w:val="000000"/>
          <w:sz w:val="24"/>
          <w:szCs w:val="24"/>
        </w:rPr>
        <w:t>La pièce à souder est mise dans sa position définitive. L’endroit de la soudure est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960687">
        <w:rPr>
          <w:rFonts w:ascii="Cambria" w:hAnsi="Cambria"/>
          <w:color w:val="000000"/>
          <w:sz w:val="24"/>
          <w:szCs w:val="24"/>
        </w:rPr>
        <w:t>chauffé au chalumeau. De nombreuses sources de chaleur peuvent être utilisées : fers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960687">
        <w:rPr>
          <w:rFonts w:ascii="Cambria" w:hAnsi="Cambria"/>
          <w:color w:val="000000"/>
          <w:sz w:val="24"/>
          <w:szCs w:val="24"/>
        </w:rPr>
        <w:t>et lampes à souder, chalumeaux, fours, résistances électriques, inductions, bains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960687">
        <w:rPr>
          <w:rFonts w:ascii="Cambria" w:hAnsi="Cambria"/>
          <w:color w:val="000000"/>
          <w:sz w:val="24"/>
          <w:szCs w:val="24"/>
        </w:rPr>
        <w:t>chauffants, etc.</w:t>
      </w:r>
    </w:p>
    <w:p w:rsidR="00960687" w:rsidRPr="00960687" w:rsidRDefault="00960687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960687">
        <w:rPr>
          <w:rFonts w:ascii="Cambria" w:hAnsi="Cambria"/>
          <w:color w:val="000000"/>
          <w:sz w:val="24"/>
          <w:szCs w:val="24"/>
        </w:rPr>
        <w:t>Au contact des éléments chauffés, le métal d’apport fond et pénètre par capillarité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960687">
        <w:rPr>
          <w:rFonts w:ascii="Cambria" w:hAnsi="Cambria"/>
          <w:color w:val="000000"/>
          <w:sz w:val="24"/>
          <w:szCs w:val="24"/>
        </w:rPr>
        <w:t>entre les surfaces à assembler, puis diffuse dans le métal de base.</w:t>
      </w:r>
    </w:p>
    <w:p w:rsidR="00960687" w:rsidRPr="00960687" w:rsidRDefault="00960687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960687">
        <w:rPr>
          <w:rFonts w:ascii="Cambria" w:hAnsi="Cambria"/>
          <w:color w:val="000000"/>
          <w:sz w:val="24"/>
          <w:szCs w:val="24"/>
        </w:rPr>
        <w:t>Parfois la flamme d’un chalumeau est nécessaire pour assurer la fusion du métal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960687">
        <w:rPr>
          <w:rFonts w:ascii="Cambria" w:hAnsi="Cambria"/>
          <w:color w:val="000000"/>
          <w:sz w:val="24"/>
          <w:szCs w:val="24"/>
        </w:rPr>
        <w:t>d’apport. Cette technique s’appelle Soudo-Brasage.</w:t>
      </w:r>
    </w:p>
    <w:p w:rsidR="00960687" w:rsidRPr="00960687" w:rsidRDefault="00960687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960687">
        <w:rPr>
          <w:rFonts w:ascii="Cambria" w:hAnsi="Cambria"/>
          <w:color w:val="000000"/>
          <w:sz w:val="24"/>
          <w:szCs w:val="24"/>
        </w:rPr>
        <w:t>Les alliages d’apport les plus couramment employés sont à base : d’étain, plomb,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960687">
        <w:rPr>
          <w:rFonts w:ascii="Cambria" w:hAnsi="Cambria"/>
          <w:color w:val="000000"/>
          <w:sz w:val="24"/>
          <w:szCs w:val="24"/>
        </w:rPr>
        <w:t>cadmium, cuivre, argent. Leurs points de fusion doivent être inférieurs à celui du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960687">
        <w:rPr>
          <w:rFonts w:ascii="Cambria" w:hAnsi="Cambria"/>
          <w:color w:val="000000"/>
          <w:sz w:val="24"/>
          <w:szCs w:val="24"/>
        </w:rPr>
        <w:t xml:space="preserve">métal de base. Ces différents alliages sont disponibles sous formes de fils, </w:t>
      </w:r>
      <w:r w:rsidRPr="00960687">
        <w:rPr>
          <w:rFonts w:ascii="Cambria" w:hAnsi="Cambria"/>
          <w:color w:val="000000"/>
          <w:sz w:val="24"/>
          <w:szCs w:val="24"/>
        </w:rPr>
        <w:t>baguettes bandes</w:t>
      </w:r>
      <w:r w:rsidRPr="00960687">
        <w:rPr>
          <w:rFonts w:ascii="Cambria" w:hAnsi="Cambria"/>
          <w:color w:val="000000"/>
          <w:sz w:val="24"/>
          <w:szCs w:val="24"/>
        </w:rPr>
        <w:t xml:space="preserve"> et poudres.</w:t>
      </w:r>
    </w:p>
    <w:p w:rsidR="00122DF5" w:rsidRDefault="00122DF5" w:rsidP="00122DF5">
      <w:pPr>
        <w:spacing w:after="0" w:line="360" w:lineRule="auto"/>
        <w:jc w:val="center"/>
        <w:rPr>
          <w:rFonts w:ascii="Cambria" w:hAnsi="Cambria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6FB9955" wp14:editId="4009314B">
            <wp:extent cx="4943475" cy="27908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687" w:rsidRDefault="00960687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122DF5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2</w:t>
      </w:r>
      <w:r w:rsidRPr="00122DF5">
        <w:rPr>
          <w:rFonts w:ascii="Cambria" w:hAnsi="Cambria"/>
          <w:b/>
          <w:bCs/>
          <w:color w:val="000000"/>
          <w:sz w:val="24"/>
          <w:szCs w:val="24"/>
        </w:rPr>
        <w:t>. Soudage au chalumeau</w:t>
      </w:r>
    </w:p>
    <w:p w:rsidR="00122DF5" w:rsidRDefault="00122DF5" w:rsidP="00122DF5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</w:p>
    <w:p w:rsidR="00EB2E7E" w:rsidRPr="00EB2E7E" w:rsidRDefault="00EB2E7E" w:rsidP="00EB2E7E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  <w:r w:rsidRPr="00EB2E7E">
        <w:rPr>
          <w:rFonts w:ascii="Cambria" w:hAnsi="Cambria"/>
          <w:b/>
          <w:bCs/>
          <w:color w:val="000000"/>
          <w:sz w:val="24"/>
          <w:szCs w:val="24"/>
        </w:rPr>
        <w:t>3.1.2 Le soudage autogène</w:t>
      </w:r>
    </w:p>
    <w:p w:rsidR="00EB2E7E" w:rsidRPr="00EB2E7E" w:rsidRDefault="00EB2E7E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B2E7E">
        <w:rPr>
          <w:rFonts w:ascii="Cambria" w:hAnsi="Cambria"/>
          <w:color w:val="000000"/>
          <w:sz w:val="24"/>
          <w:szCs w:val="24"/>
        </w:rPr>
        <w:t>Le soudage autogène consiste à lier deux éléments d’un même métal par fusion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B2E7E">
        <w:rPr>
          <w:rFonts w:ascii="Cambria" w:hAnsi="Cambria"/>
          <w:color w:val="000000"/>
          <w:sz w:val="24"/>
          <w:szCs w:val="24"/>
        </w:rPr>
        <w:t>locale. Les nombreux procédés de soudage autogène (appelé couramment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B2E7E">
        <w:rPr>
          <w:rFonts w:ascii="Cambria" w:hAnsi="Cambria"/>
          <w:color w:val="000000"/>
          <w:sz w:val="24"/>
          <w:szCs w:val="24"/>
        </w:rPr>
        <w:t>« soudage ») sont classés en fonction de l’énergie mise en œuvre pour assurer la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B2E7E">
        <w:rPr>
          <w:rFonts w:ascii="Cambria" w:hAnsi="Cambria"/>
          <w:color w:val="000000"/>
          <w:sz w:val="24"/>
          <w:szCs w:val="24"/>
        </w:rPr>
        <w:t>fusion locale des éléments à assembler.</w:t>
      </w:r>
    </w:p>
    <w:p w:rsidR="00EB2E7E" w:rsidRPr="00EB2E7E" w:rsidRDefault="00EB2E7E" w:rsidP="00EB2E7E">
      <w:pPr>
        <w:spacing w:after="0" w:line="360" w:lineRule="auto"/>
        <w:rPr>
          <w:rFonts w:ascii="Cambria" w:hAnsi="Cambria"/>
          <w:color w:val="000000"/>
          <w:sz w:val="24"/>
          <w:szCs w:val="24"/>
        </w:rPr>
      </w:pPr>
      <w:r w:rsidRPr="00EB2E7E">
        <w:rPr>
          <w:rFonts w:ascii="Cambria" w:hAnsi="Cambria"/>
          <w:color w:val="000000"/>
          <w:sz w:val="24"/>
          <w:szCs w:val="24"/>
        </w:rPr>
        <w:t>Les sources d’énergies utilisées sont :</w:t>
      </w:r>
    </w:p>
    <w:p w:rsidR="00EB2E7E" w:rsidRPr="00EB2E7E" w:rsidRDefault="00EB2E7E" w:rsidP="00EB2E7E">
      <w:pPr>
        <w:pStyle w:val="Paragraphedeliste"/>
        <w:numPr>
          <w:ilvl w:val="0"/>
          <w:numId w:val="11"/>
        </w:numPr>
        <w:spacing w:after="0" w:line="360" w:lineRule="auto"/>
        <w:rPr>
          <w:rFonts w:ascii="Cambria" w:hAnsi="Cambria"/>
          <w:color w:val="000000"/>
          <w:sz w:val="24"/>
          <w:szCs w:val="24"/>
        </w:rPr>
      </w:pPr>
      <w:r w:rsidRPr="00EB2E7E">
        <w:rPr>
          <w:rFonts w:ascii="Cambria" w:hAnsi="Cambria"/>
          <w:color w:val="000000"/>
          <w:sz w:val="24"/>
          <w:szCs w:val="24"/>
        </w:rPr>
        <w:t xml:space="preserve">Energie thermochimique : </w:t>
      </w:r>
      <w:r w:rsidRPr="00EB2E7E">
        <w:rPr>
          <w:rFonts w:ascii="Cambria" w:hAnsi="Cambria"/>
          <w:color w:val="000000"/>
          <w:sz w:val="24"/>
          <w:szCs w:val="24"/>
        </w:rPr>
        <w:t>aluminothermie</w:t>
      </w:r>
      <w:r w:rsidRPr="00EB2E7E">
        <w:rPr>
          <w:rFonts w:ascii="Cambria" w:hAnsi="Cambria"/>
          <w:color w:val="000000"/>
          <w:sz w:val="24"/>
          <w:szCs w:val="24"/>
        </w:rPr>
        <w:t>, combustion gazeuse</w:t>
      </w:r>
    </w:p>
    <w:p w:rsidR="00EB2E7E" w:rsidRPr="00EB2E7E" w:rsidRDefault="00EB2E7E" w:rsidP="00EB2E7E">
      <w:pPr>
        <w:pStyle w:val="Paragraphedeliste"/>
        <w:numPr>
          <w:ilvl w:val="0"/>
          <w:numId w:val="11"/>
        </w:numPr>
        <w:spacing w:after="0" w:line="360" w:lineRule="auto"/>
        <w:rPr>
          <w:rFonts w:ascii="Cambria" w:hAnsi="Cambria"/>
          <w:color w:val="000000"/>
          <w:sz w:val="24"/>
          <w:szCs w:val="24"/>
        </w:rPr>
      </w:pPr>
      <w:r w:rsidRPr="00EB2E7E">
        <w:rPr>
          <w:rFonts w:ascii="Cambria" w:hAnsi="Cambria"/>
          <w:color w:val="000000"/>
          <w:sz w:val="24"/>
          <w:szCs w:val="24"/>
        </w:rPr>
        <w:t>Energie électrique : arc électrique, résistance électrique</w:t>
      </w:r>
    </w:p>
    <w:p w:rsidR="00EB2E7E" w:rsidRPr="00EB2E7E" w:rsidRDefault="00EB2E7E" w:rsidP="00EB2E7E">
      <w:pPr>
        <w:pStyle w:val="Paragraphedeliste"/>
        <w:numPr>
          <w:ilvl w:val="0"/>
          <w:numId w:val="11"/>
        </w:numPr>
        <w:spacing w:after="0" w:line="360" w:lineRule="auto"/>
        <w:rPr>
          <w:rFonts w:ascii="Cambria" w:hAnsi="Cambria"/>
          <w:color w:val="000000"/>
          <w:sz w:val="24"/>
          <w:szCs w:val="24"/>
        </w:rPr>
      </w:pPr>
      <w:r w:rsidRPr="00EB2E7E">
        <w:rPr>
          <w:rFonts w:ascii="Cambria" w:hAnsi="Cambria"/>
          <w:color w:val="000000"/>
          <w:sz w:val="24"/>
          <w:szCs w:val="24"/>
        </w:rPr>
        <w:lastRenderedPageBreak/>
        <w:t>Energie mécanique : friction, pression, ultrasons</w:t>
      </w:r>
    </w:p>
    <w:p w:rsidR="00EB2E7E" w:rsidRPr="00EB2E7E" w:rsidRDefault="00EB2E7E" w:rsidP="00EB2E7E">
      <w:pPr>
        <w:pStyle w:val="Paragraphedeliste"/>
        <w:numPr>
          <w:ilvl w:val="0"/>
          <w:numId w:val="11"/>
        </w:numPr>
        <w:spacing w:after="0" w:line="360" w:lineRule="auto"/>
        <w:rPr>
          <w:rFonts w:ascii="Cambria" w:hAnsi="Cambria"/>
          <w:color w:val="000000"/>
          <w:sz w:val="24"/>
          <w:szCs w:val="24"/>
        </w:rPr>
      </w:pPr>
      <w:r w:rsidRPr="00EB2E7E">
        <w:rPr>
          <w:rFonts w:ascii="Cambria" w:hAnsi="Cambria"/>
          <w:color w:val="000000"/>
          <w:sz w:val="24"/>
          <w:szCs w:val="24"/>
        </w:rPr>
        <w:t>Energie focalisée : bombardement électrique, laser.</w:t>
      </w:r>
    </w:p>
    <w:p w:rsidR="00EB2E7E" w:rsidRDefault="00EB2E7E" w:rsidP="00EB2E7E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</w:p>
    <w:p w:rsidR="00EB2E7E" w:rsidRPr="00EB2E7E" w:rsidRDefault="00EB2E7E" w:rsidP="00EB2E7E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  <w:r w:rsidRPr="00EB2E7E">
        <w:rPr>
          <w:rFonts w:ascii="Cambria" w:hAnsi="Cambria"/>
          <w:b/>
          <w:bCs/>
          <w:color w:val="000000"/>
          <w:sz w:val="24"/>
          <w:szCs w:val="24"/>
        </w:rPr>
        <w:t>3.1.3 Exemples</w:t>
      </w:r>
    </w:p>
    <w:p w:rsidR="00EB2E7E" w:rsidRPr="00EB2E7E" w:rsidRDefault="00EB2E7E" w:rsidP="00EB2E7E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  <w:r w:rsidRPr="00EB2E7E">
        <w:rPr>
          <w:rFonts w:ascii="Cambria" w:hAnsi="Cambria"/>
          <w:b/>
          <w:bCs/>
          <w:color w:val="000000"/>
          <w:sz w:val="24"/>
          <w:szCs w:val="24"/>
        </w:rPr>
        <w:t>3.1.3.1 L’Aluminothermie</w:t>
      </w:r>
    </w:p>
    <w:p w:rsidR="00EB2E7E" w:rsidRPr="00EB2E7E" w:rsidRDefault="00EB2E7E" w:rsidP="00EB2E7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B2E7E">
        <w:rPr>
          <w:rFonts w:ascii="Cambria" w:hAnsi="Cambria"/>
          <w:color w:val="000000"/>
          <w:sz w:val="24"/>
          <w:szCs w:val="24"/>
        </w:rPr>
        <w:t>La réaction chimique de l’aluminium en poudre et de l’oxyde de fer crée la chaleur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B2E7E">
        <w:rPr>
          <w:rFonts w:ascii="Cambria" w:hAnsi="Cambria"/>
          <w:color w:val="000000"/>
          <w:sz w:val="24"/>
          <w:szCs w:val="24"/>
        </w:rPr>
        <w:t>nécessaire à la fusion locale des pièces à souder.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B2E7E">
        <w:rPr>
          <w:rFonts w:ascii="Cambria" w:hAnsi="Cambria"/>
          <w:color w:val="000000"/>
          <w:sz w:val="24"/>
          <w:szCs w:val="24"/>
        </w:rPr>
        <w:t>Ce procédé est très utilisé pour souder les rails de chemin de fer.</w:t>
      </w:r>
    </w:p>
    <w:p w:rsidR="00EB2E7E" w:rsidRDefault="00E04DBB" w:rsidP="00EB2E7E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49062D2" wp14:editId="1ADA967B">
            <wp:extent cx="4030345" cy="3072809"/>
            <wp:effectExtent l="0" t="0" r="825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4696" cy="307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DF5" w:rsidRDefault="00EB2E7E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EB2E7E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3</w:t>
      </w:r>
      <w:r w:rsidRPr="00EB2E7E">
        <w:rPr>
          <w:rFonts w:ascii="Cambria" w:hAnsi="Cambria"/>
          <w:b/>
          <w:bCs/>
          <w:color w:val="000000"/>
          <w:sz w:val="24"/>
          <w:szCs w:val="24"/>
        </w:rPr>
        <w:t>. L’aluminothermie</w:t>
      </w:r>
    </w:p>
    <w:p w:rsidR="00EB2E7E" w:rsidRDefault="00EB2E7E" w:rsidP="00EB2E7E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</w:p>
    <w:p w:rsidR="00E04DBB" w:rsidRPr="00E04DBB" w:rsidRDefault="00E04DBB" w:rsidP="00E04DBB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  <w:r w:rsidRPr="00E04DBB">
        <w:rPr>
          <w:rFonts w:ascii="Cambria" w:hAnsi="Cambria"/>
          <w:b/>
          <w:bCs/>
          <w:color w:val="000000"/>
          <w:sz w:val="24"/>
          <w:szCs w:val="24"/>
        </w:rPr>
        <w:t>3.1.3.2 Soudage Oxyacétylénique (combustion gazeuse) :</w:t>
      </w:r>
    </w:p>
    <w:p w:rsidR="00E04DBB" w:rsidRPr="00E04DBB" w:rsidRDefault="00E04DBB" w:rsidP="00E04DB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04DBB">
        <w:rPr>
          <w:rFonts w:ascii="Cambria" w:hAnsi="Cambria"/>
          <w:color w:val="000000"/>
          <w:sz w:val="24"/>
          <w:szCs w:val="24"/>
        </w:rPr>
        <w:t>Une flamme obtenue à partir d’un gaz combustible (en général l’acétylène qui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04DBB">
        <w:rPr>
          <w:rFonts w:ascii="Cambria" w:hAnsi="Cambria"/>
          <w:color w:val="000000"/>
          <w:sz w:val="24"/>
          <w:szCs w:val="24"/>
        </w:rPr>
        <w:t>brule par mélange d’oxygène), fournit la source de chaleur.</w:t>
      </w:r>
    </w:p>
    <w:p w:rsidR="00E04DBB" w:rsidRDefault="00E04DBB" w:rsidP="00E04DBB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601C088" wp14:editId="2C18DA22">
            <wp:extent cx="4420110" cy="2626242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350" cy="26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BB" w:rsidRPr="00E04DBB" w:rsidRDefault="00E04DBB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E04DBB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4</w:t>
      </w:r>
      <w:r w:rsidRPr="00E04DBB">
        <w:rPr>
          <w:rFonts w:ascii="Cambria" w:hAnsi="Cambria"/>
          <w:b/>
          <w:bCs/>
          <w:color w:val="000000"/>
          <w:sz w:val="24"/>
          <w:szCs w:val="24"/>
        </w:rPr>
        <w:t>. Soudage oxyacétylénique</w:t>
      </w:r>
    </w:p>
    <w:p w:rsidR="00E04DBB" w:rsidRPr="00E04DBB" w:rsidRDefault="00E04DBB" w:rsidP="00E04DBB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  <w:r w:rsidRPr="00E04DBB">
        <w:rPr>
          <w:rFonts w:ascii="Cambria" w:hAnsi="Cambria"/>
          <w:b/>
          <w:bCs/>
          <w:color w:val="000000"/>
          <w:sz w:val="24"/>
          <w:szCs w:val="24"/>
        </w:rPr>
        <w:lastRenderedPageBreak/>
        <w:t>3.1.3.3 Le soudage à l’arc électrique :</w:t>
      </w:r>
    </w:p>
    <w:p w:rsidR="00E04DBB" w:rsidRPr="00E04DBB" w:rsidRDefault="00E04DBB" w:rsidP="00E04DB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04DBB">
        <w:rPr>
          <w:rFonts w:ascii="Cambria" w:hAnsi="Cambria"/>
          <w:color w:val="000000"/>
          <w:sz w:val="24"/>
          <w:szCs w:val="24"/>
        </w:rPr>
        <w:t>Un générateur d’électricité force les électrons libres à se déplacer dans le même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04DBB">
        <w:rPr>
          <w:rFonts w:ascii="Cambria" w:hAnsi="Cambria"/>
          <w:color w:val="000000"/>
          <w:sz w:val="24"/>
          <w:szCs w:val="24"/>
        </w:rPr>
        <w:t>sens à travers un conduit : c’est le courant électrique.</w:t>
      </w:r>
    </w:p>
    <w:p w:rsidR="00E04DBB" w:rsidRPr="00E04DBB" w:rsidRDefault="00E04DBB" w:rsidP="00E04DB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04DBB">
        <w:rPr>
          <w:rFonts w:ascii="Cambria" w:hAnsi="Cambria"/>
          <w:color w:val="000000"/>
          <w:sz w:val="24"/>
          <w:szCs w:val="24"/>
        </w:rPr>
        <w:t>Pour que les électrons circulent, le circuit doit être fermé, si le circuit est ouvert, le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04DBB">
        <w:rPr>
          <w:rFonts w:ascii="Cambria" w:hAnsi="Cambria"/>
          <w:color w:val="000000"/>
          <w:sz w:val="24"/>
          <w:szCs w:val="24"/>
        </w:rPr>
        <w:t>courant ne passe pas car l’air n’est pas un conducteur.</w:t>
      </w:r>
    </w:p>
    <w:p w:rsidR="00E04DBB" w:rsidRDefault="00E04DBB" w:rsidP="00E04DB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04DBB">
        <w:rPr>
          <w:rFonts w:ascii="Cambria" w:hAnsi="Cambria"/>
          <w:color w:val="000000"/>
          <w:sz w:val="24"/>
          <w:szCs w:val="24"/>
        </w:rPr>
        <w:t>L’arc électrique persiste tant que les électrodes restent à bonne distance l’une de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04DBB">
        <w:rPr>
          <w:rFonts w:ascii="Cambria" w:hAnsi="Cambria"/>
          <w:color w:val="000000"/>
          <w:sz w:val="24"/>
          <w:szCs w:val="24"/>
        </w:rPr>
        <w:t>l’autre.</w:t>
      </w:r>
    </w:p>
    <w:p w:rsidR="00E04DBB" w:rsidRPr="00E04DBB" w:rsidRDefault="00E04DBB" w:rsidP="00E04DBB">
      <w:pPr>
        <w:spacing w:after="0" w:line="360" w:lineRule="auto"/>
        <w:jc w:val="center"/>
        <w:rPr>
          <w:rFonts w:ascii="Cambria" w:hAnsi="Cambria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73B2A2D" wp14:editId="14DD3E50">
            <wp:extent cx="6305550" cy="2275367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1703" cy="2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BB" w:rsidRDefault="00E04DBB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E04DBB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5</w:t>
      </w:r>
      <w:r w:rsidRPr="00E04DBB">
        <w:rPr>
          <w:rFonts w:ascii="Cambria" w:hAnsi="Cambria"/>
          <w:b/>
          <w:bCs/>
          <w:color w:val="000000"/>
          <w:sz w:val="24"/>
          <w:szCs w:val="24"/>
        </w:rPr>
        <w:t>. Schéma de fonctionnement (Soudage à l’arc électrique)</w:t>
      </w:r>
    </w:p>
    <w:p w:rsidR="0025094A" w:rsidRDefault="0025094A" w:rsidP="0025094A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</w:p>
    <w:p w:rsidR="0025094A" w:rsidRPr="0025094A" w:rsidRDefault="0025094A" w:rsidP="0025094A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  <w:r w:rsidRPr="0025094A">
        <w:rPr>
          <w:rFonts w:ascii="Cambria" w:hAnsi="Cambria"/>
          <w:b/>
          <w:bCs/>
          <w:color w:val="000000"/>
          <w:sz w:val="28"/>
          <w:szCs w:val="28"/>
        </w:rPr>
        <w:t>3.2 Rivetage</w:t>
      </w:r>
    </w:p>
    <w:p w:rsidR="0025094A" w:rsidRDefault="0025094A" w:rsidP="0025094A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5094A">
        <w:rPr>
          <w:rFonts w:ascii="Cambria" w:hAnsi="Cambria"/>
          <w:color w:val="000000"/>
          <w:sz w:val="24"/>
          <w:szCs w:val="24"/>
        </w:rPr>
        <w:t>Les rivets sont des organes d’assemblage, utilisés pour lier plusieurs pièces. Ce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5094A">
        <w:rPr>
          <w:rFonts w:ascii="Cambria" w:hAnsi="Cambria"/>
          <w:color w:val="000000"/>
          <w:sz w:val="24"/>
          <w:szCs w:val="24"/>
        </w:rPr>
        <w:t>sont des tiges d’acier, d’aluminium, de laiton, de cuivre, etc., dont l’une des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5094A">
        <w:rPr>
          <w:rFonts w:ascii="Cambria" w:hAnsi="Cambria"/>
          <w:color w:val="000000"/>
          <w:sz w:val="24"/>
          <w:szCs w:val="24"/>
        </w:rPr>
        <w:t>extrémités a été préparée en forme de tête (tête normalisée), la seconde tête, dite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5094A">
        <w:rPr>
          <w:rFonts w:ascii="Cambria" w:hAnsi="Cambria"/>
          <w:color w:val="000000"/>
          <w:sz w:val="24"/>
          <w:szCs w:val="24"/>
        </w:rPr>
        <w:t>rivure, étant forgée après pose.</w:t>
      </w:r>
    </w:p>
    <w:p w:rsidR="0025094A" w:rsidRDefault="0025094A" w:rsidP="0025094A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44E91AA" wp14:editId="47757DE7">
            <wp:extent cx="4133850" cy="28003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94A" w:rsidRPr="0025094A" w:rsidRDefault="0025094A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25094A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6</w:t>
      </w:r>
      <w:r w:rsidRPr="0025094A">
        <w:rPr>
          <w:rFonts w:ascii="Cambria" w:hAnsi="Cambria"/>
          <w:b/>
          <w:bCs/>
          <w:color w:val="000000"/>
          <w:sz w:val="24"/>
          <w:szCs w:val="24"/>
        </w:rPr>
        <w:t>. Le Rivetage</w:t>
      </w:r>
    </w:p>
    <w:p w:rsidR="0025094A" w:rsidRDefault="0025094A" w:rsidP="0025094A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</w:p>
    <w:p w:rsidR="0025094A" w:rsidRDefault="0025094A" w:rsidP="0025094A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</w:p>
    <w:p w:rsidR="0025094A" w:rsidRPr="0025094A" w:rsidRDefault="0025094A" w:rsidP="0025094A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  <w:r w:rsidRPr="0025094A">
        <w:rPr>
          <w:rFonts w:ascii="Cambria" w:hAnsi="Cambria"/>
          <w:b/>
          <w:bCs/>
          <w:color w:val="000000"/>
          <w:sz w:val="28"/>
          <w:szCs w:val="28"/>
        </w:rPr>
        <w:lastRenderedPageBreak/>
        <w:t>3.3 Emmanchement à force</w:t>
      </w:r>
    </w:p>
    <w:p w:rsidR="0025094A" w:rsidRDefault="0025094A" w:rsidP="0025094A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5094A">
        <w:rPr>
          <w:rFonts w:ascii="Cambria" w:hAnsi="Cambria"/>
          <w:color w:val="000000"/>
          <w:sz w:val="24"/>
          <w:szCs w:val="24"/>
        </w:rPr>
        <w:t>L'emmanchement en force à la presse est une opération conditionnée par le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5094A">
        <w:rPr>
          <w:rFonts w:ascii="Cambria" w:hAnsi="Cambria"/>
          <w:color w:val="000000"/>
          <w:sz w:val="24"/>
          <w:szCs w:val="24"/>
        </w:rPr>
        <w:t>frottement. La liaison par assemblage cylindrique forcé est très simple à concevoir :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5094A">
        <w:rPr>
          <w:rFonts w:ascii="Cambria" w:hAnsi="Cambria"/>
          <w:color w:val="000000"/>
          <w:sz w:val="24"/>
          <w:szCs w:val="24"/>
        </w:rPr>
        <w:t>un alésage cylindrique reçoit une tige de même forme. Une liaison par adhérence doit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5094A">
        <w:rPr>
          <w:rFonts w:ascii="Cambria" w:hAnsi="Cambria"/>
          <w:color w:val="000000"/>
          <w:sz w:val="24"/>
          <w:szCs w:val="24"/>
        </w:rPr>
        <w:t>se superposer à la liaison par obstacle ainsi réalisée pour faire disparaitre les deux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5094A">
        <w:rPr>
          <w:rFonts w:ascii="Cambria" w:hAnsi="Cambria"/>
          <w:color w:val="000000"/>
          <w:sz w:val="24"/>
          <w:szCs w:val="24"/>
        </w:rPr>
        <w:t>libertés qui subsistent.</w:t>
      </w:r>
    </w:p>
    <w:p w:rsidR="00FC489B" w:rsidRDefault="00FC489B" w:rsidP="0025094A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</w:p>
    <w:p w:rsidR="0025094A" w:rsidRPr="0025094A" w:rsidRDefault="0025094A" w:rsidP="0025094A">
      <w:pPr>
        <w:spacing w:after="0" w:line="360" w:lineRule="auto"/>
        <w:jc w:val="center"/>
        <w:rPr>
          <w:rFonts w:ascii="Cambria" w:hAnsi="Cambria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009F952" wp14:editId="5DB8CAA1">
            <wp:extent cx="6479540" cy="29800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DBB" w:rsidRDefault="0025094A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25094A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7</w:t>
      </w:r>
      <w:r w:rsidRPr="0025094A">
        <w:rPr>
          <w:rFonts w:ascii="Cambria" w:hAnsi="Cambria"/>
          <w:b/>
          <w:bCs/>
          <w:color w:val="000000"/>
          <w:sz w:val="24"/>
          <w:szCs w:val="24"/>
        </w:rPr>
        <w:t>. Schéma de principe « Emmanchement à force »</w:t>
      </w:r>
    </w:p>
    <w:p w:rsidR="00FC489B" w:rsidRDefault="00FC489B" w:rsidP="00FC489B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</w:p>
    <w:p w:rsidR="00FC489B" w:rsidRPr="00FC489B" w:rsidRDefault="00FC489B" w:rsidP="00FC489B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  <w:r w:rsidRPr="00FC489B">
        <w:rPr>
          <w:rFonts w:ascii="Cambria" w:hAnsi="Cambria"/>
          <w:b/>
          <w:bCs/>
          <w:color w:val="000000"/>
          <w:sz w:val="28"/>
          <w:szCs w:val="28"/>
        </w:rPr>
        <w:t>3.4 Arc-boutement</w:t>
      </w:r>
    </w:p>
    <w:p w:rsidR="00FC489B" w:rsidRDefault="00FC489B" w:rsidP="00FC489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FC489B">
        <w:rPr>
          <w:rFonts w:ascii="Cambria" w:hAnsi="Cambria"/>
          <w:color w:val="000000"/>
          <w:sz w:val="24"/>
          <w:szCs w:val="24"/>
        </w:rPr>
        <w:t>Le phénomène d'arc-boutement se produit dans un système mécanique lorsque la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FC489B">
        <w:rPr>
          <w:rFonts w:ascii="Cambria" w:hAnsi="Cambria"/>
          <w:color w:val="000000"/>
          <w:sz w:val="24"/>
          <w:szCs w:val="24"/>
        </w:rPr>
        <w:t>configuration de celui-ci est telle que l’adhérence empêche tout mouvement et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FC489B">
        <w:rPr>
          <w:rFonts w:ascii="Cambria" w:hAnsi="Cambria"/>
          <w:color w:val="000000"/>
          <w:sz w:val="24"/>
          <w:szCs w:val="24"/>
        </w:rPr>
        <w:t>maintient donc l'équilibre, quelle que soit l’intensité des actions mécaniques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FC489B">
        <w:rPr>
          <w:rFonts w:ascii="Cambria" w:hAnsi="Cambria"/>
          <w:color w:val="000000"/>
          <w:sz w:val="24"/>
          <w:szCs w:val="24"/>
        </w:rPr>
        <w:t>extérieures.</w:t>
      </w:r>
    </w:p>
    <w:p w:rsidR="00FC489B" w:rsidRPr="00FC489B" w:rsidRDefault="00FC489B" w:rsidP="00FC489B">
      <w:pPr>
        <w:spacing w:after="0" w:line="360" w:lineRule="auto"/>
        <w:jc w:val="center"/>
        <w:rPr>
          <w:rFonts w:ascii="Cambria" w:hAnsi="Cambria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735358E" wp14:editId="5689BC27">
            <wp:extent cx="6191250" cy="24193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9B" w:rsidRPr="00FC489B" w:rsidRDefault="00FC489B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FC489B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8</w:t>
      </w:r>
      <w:r w:rsidRPr="00FC489B">
        <w:rPr>
          <w:rFonts w:ascii="Cambria" w:hAnsi="Cambria"/>
          <w:b/>
          <w:bCs/>
          <w:color w:val="000000"/>
          <w:sz w:val="24"/>
          <w:szCs w:val="24"/>
        </w:rPr>
        <w:t>. Serre-joint (arc-boutement)</w:t>
      </w:r>
    </w:p>
    <w:p w:rsidR="00FC489B" w:rsidRDefault="00FC489B" w:rsidP="00FC489B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</w:p>
    <w:p w:rsidR="00FC489B" w:rsidRPr="00FC489B" w:rsidRDefault="00FC489B" w:rsidP="00FC489B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  <w:r w:rsidRPr="00FC489B">
        <w:rPr>
          <w:rFonts w:ascii="Cambria" w:hAnsi="Cambria"/>
          <w:b/>
          <w:bCs/>
          <w:color w:val="000000"/>
          <w:sz w:val="28"/>
          <w:szCs w:val="28"/>
        </w:rPr>
        <w:lastRenderedPageBreak/>
        <w:t>3.5 Assemblage conique</w:t>
      </w:r>
    </w:p>
    <w:p w:rsidR="00FC489B" w:rsidRPr="00FC489B" w:rsidRDefault="00FC489B" w:rsidP="00FC489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FC489B">
        <w:rPr>
          <w:rFonts w:ascii="Cambria" w:hAnsi="Cambria"/>
          <w:color w:val="000000"/>
          <w:sz w:val="24"/>
          <w:szCs w:val="24"/>
        </w:rPr>
        <w:t>Un coincement de forme conique est obtenu lorsque la pièce possède un alésage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FC489B">
        <w:rPr>
          <w:rFonts w:ascii="Cambria" w:hAnsi="Cambria"/>
          <w:color w:val="000000"/>
          <w:sz w:val="24"/>
          <w:szCs w:val="24"/>
        </w:rPr>
        <w:t>conique et l’extrémité de l’arbre est façonnée en cône de même conicité.</w:t>
      </w:r>
    </w:p>
    <w:p w:rsidR="00FC489B" w:rsidRDefault="00FC489B" w:rsidP="00FC489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FC489B">
        <w:rPr>
          <w:rFonts w:ascii="Cambria" w:hAnsi="Cambria"/>
          <w:color w:val="000000"/>
          <w:sz w:val="24"/>
          <w:szCs w:val="24"/>
        </w:rPr>
        <w:t>Si on enfonce l’arbre dans la pièce par pression ou par choc, il y a coincement des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FC489B">
        <w:rPr>
          <w:rFonts w:ascii="Cambria" w:hAnsi="Cambria"/>
          <w:color w:val="000000"/>
          <w:sz w:val="24"/>
          <w:szCs w:val="24"/>
        </w:rPr>
        <w:t>deux éléments de l’assemblage.</w:t>
      </w:r>
    </w:p>
    <w:p w:rsidR="00FC489B" w:rsidRPr="00FC489B" w:rsidRDefault="00FC489B" w:rsidP="00FC489B">
      <w:pPr>
        <w:spacing w:after="0" w:line="360" w:lineRule="auto"/>
        <w:jc w:val="center"/>
        <w:rPr>
          <w:rFonts w:ascii="Cambria" w:hAnsi="Cambria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48101EF" wp14:editId="26D41A53">
            <wp:extent cx="2705100" cy="25050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9B" w:rsidRPr="00FC489B" w:rsidRDefault="00FC489B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FC489B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9</w:t>
      </w:r>
      <w:r w:rsidRPr="00FC489B">
        <w:rPr>
          <w:rFonts w:ascii="Cambria" w:hAnsi="Cambria"/>
          <w:b/>
          <w:bCs/>
          <w:color w:val="000000"/>
          <w:sz w:val="24"/>
          <w:szCs w:val="24"/>
        </w:rPr>
        <w:t>. Assemblage conique</w:t>
      </w:r>
    </w:p>
    <w:p w:rsidR="00132C2E" w:rsidRDefault="00132C2E" w:rsidP="00FC489B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</w:p>
    <w:p w:rsidR="00FC489B" w:rsidRPr="00FC489B" w:rsidRDefault="00FC489B" w:rsidP="00FC489B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  <w:r w:rsidRPr="00FC489B">
        <w:rPr>
          <w:rFonts w:ascii="Cambria" w:hAnsi="Cambria"/>
          <w:b/>
          <w:bCs/>
          <w:color w:val="000000"/>
          <w:sz w:val="28"/>
          <w:szCs w:val="28"/>
        </w:rPr>
        <w:t>3.6 Vissage et Boulonnage</w:t>
      </w:r>
    </w:p>
    <w:p w:rsidR="00FC489B" w:rsidRPr="00FC489B" w:rsidRDefault="00132C2E" w:rsidP="00FC489B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rFonts w:ascii="Cambria" w:hAnsi="Cambria"/>
          <w:b/>
          <w:bCs/>
          <w:color w:val="000000"/>
          <w:sz w:val="24"/>
          <w:szCs w:val="24"/>
        </w:rPr>
        <w:t>3.6.1.</w:t>
      </w:r>
      <w:r w:rsidRPr="00FC489B">
        <w:rPr>
          <w:rFonts w:ascii="Cambria" w:hAnsi="Cambria"/>
          <w:b/>
          <w:bCs/>
          <w:color w:val="000000"/>
          <w:sz w:val="24"/>
          <w:szCs w:val="24"/>
        </w:rPr>
        <w:t xml:space="preserve"> Boulonnage</w:t>
      </w:r>
    </w:p>
    <w:p w:rsidR="0025094A" w:rsidRDefault="00FC489B" w:rsidP="00132C2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FC489B">
        <w:rPr>
          <w:rFonts w:ascii="Cambria" w:hAnsi="Cambria"/>
          <w:color w:val="000000"/>
          <w:sz w:val="24"/>
          <w:szCs w:val="24"/>
        </w:rPr>
        <w:t>Le boulonnage est une méthode d'assemblage mécanique démontable. Les boulons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FC489B">
        <w:rPr>
          <w:rFonts w:ascii="Cambria" w:hAnsi="Cambria"/>
          <w:color w:val="000000"/>
          <w:sz w:val="24"/>
          <w:szCs w:val="24"/>
        </w:rPr>
        <w:t>servent à créer une liaison de continuité entre éléments ou à assurer la transmission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FC489B">
        <w:rPr>
          <w:rFonts w:ascii="Cambria" w:hAnsi="Cambria"/>
          <w:color w:val="000000"/>
          <w:sz w:val="24"/>
          <w:szCs w:val="24"/>
        </w:rPr>
        <w:t>intégrale des efforts d'une partie à l'autre d'une construction.</w:t>
      </w:r>
    </w:p>
    <w:p w:rsidR="00132C2E" w:rsidRPr="00132C2E" w:rsidRDefault="00132C2E" w:rsidP="00132C2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132C2E">
        <w:rPr>
          <w:rFonts w:ascii="Cambria" w:hAnsi="Cambria"/>
          <w:color w:val="000000"/>
          <w:sz w:val="24"/>
          <w:szCs w:val="24"/>
        </w:rPr>
        <w:t>En boulonnerie le terme vis correspond à un filetage complet alors que le terme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correct est corps de boulon lorsque la partie filetée est partielle.</w:t>
      </w:r>
    </w:p>
    <w:p w:rsidR="00132C2E" w:rsidRPr="00132C2E" w:rsidRDefault="00132C2E" w:rsidP="00132C2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132C2E">
        <w:rPr>
          <w:rFonts w:ascii="Cambria" w:hAnsi="Cambria"/>
          <w:color w:val="000000"/>
          <w:sz w:val="24"/>
          <w:szCs w:val="24"/>
        </w:rPr>
        <w:t>Une vis de fixation, appelée communément vis, est un organe mécanique,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 xml:space="preserve">comportant une tige filetée et une </w:t>
      </w:r>
      <w:r w:rsidRPr="00132C2E">
        <w:rPr>
          <w:rFonts w:ascii="Cambria" w:hAnsi="Cambria"/>
          <w:color w:val="000000"/>
          <w:sz w:val="24"/>
          <w:szCs w:val="24"/>
        </w:rPr>
        <w:t>tête ;</w:t>
      </w:r>
      <w:r w:rsidRPr="00132C2E">
        <w:rPr>
          <w:rFonts w:ascii="Cambria" w:hAnsi="Cambria"/>
          <w:color w:val="000000"/>
          <w:sz w:val="24"/>
          <w:szCs w:val="24"/>
        </w:rPr>
        <w:t xml:space="preserve"> il est destiné à réaliser la fixation d'une ou de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plusieurs pièces par pression. La fixation par vis crée une liaison plane sur plan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démontable, par placage précontraint des deux pièces à assembler. Tant que les efforts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de traction appliqués sur la liaison n'excèdent pas l’effort exercé au repos par les vis,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l'assemblage bénéficie de la raideur des pièces assemblées.</w:t>
      </w:r>
    </w:p>
    <w:p w:rsidR="00132C2E" w:rsidRDefault="00132C2E" w:rsidP="00132C2E">
      <w:pPr>
        <w:spacing w:after="0" w:line="360" w:lineRule="auto"/>
        <w:jc w:val="both"/>
        <w:rPr>
          <w:rFonts w:ascii="Cambria" w:hAnsi="Cambria"/>
          <w:b/>
          <w:bCs/>
          <w:color w:val="000000"/>
          <w:sz w:val="24"/>
          <w:szCs w:val="24"/>
        </w:rPr>
      </w:pPr>
    </w:p>
    <w:p w:rsidR="00132C2E" w:rsidRPr="00132C2E" w:rsidRDefault="00132C2E" w:rsidP="00132C2E">
      <w:pPr>
        <w:spacing w:after="0" w:line="360" w:lineRule="auto"/>
        <w:jc w:val="both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rFonts w:ascii="Cambria" w:hAnsi="Cambria"/>
          <w:b/>
          <w:bCs/>
          <w:color w:val="000000"/>
          <w:sz w:val="24"/>
          <w:szCs w:val="24"/>
        </w:rPr>
        <w:t>3.6.2.</w:t>
      </w:r>
      <w:r w:rsidRPr="00132C2E">
        <w:rPr>
          <w:rFonts w:ascii="Cambria" w:hAnsi="Cambria"/>
          <w:b/>
          <w:bCs/>
          <w:color w:val="000000"/>
          <w:sz w:val="24"/>
          <w:szCs w:val="24"/>
        </w:rPr>
        <w:t xml:space="preserve"> Visse</w:t>
      </w:r>
      <w:r w:rsidRPr="00132C2E">
        <w:rPr>
          <w:rFonts w:ascii="Cambria" w:hAnsi="Cambria"/>
          <w:b/>
          <w:bCs/>
          <w:color w:val="000000"/>
          <w:sz w:val="24"/>
          <w:szCs w:val="24"/>
        </w:rPr>
        <w:t>-écrou</w:t>
      </w:r>
    </w:p>
    <w:p w:rsidR="00132C2E" w:rsidRPr="00132C2E" w:rsidRDefault="00132C2E" w:rsidP="00132C2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132C2E">
        <w:rPr>
          <w:rFonts w:ascii="Cambria" w:hAnsi="Cambria"/>
          <w:color w:val="000000"/>
          <w:sz w:val="24"/>
          <w:szCs w:val="24"/>
        </w:rPr>
        <w:t>Le système vis-écrou, est un mécanisme d'entraînement en translation. Il se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compose de :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Une tige filetée entraînée en rotation autour d'un axe fixe par rapport à la pièce (la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vis), une pièce comportant un filetage intérieur, la noix (ou écrou), guidée en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translation par rapport au bâti.</w:t>
      </w:r>
    </w:p>
    <w:p w:rsidR="00132C2E" w:rsidRDefault="00132C2E" w:rsidP="00132C2E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132C2E">
        <w:rPr>
          <w:rFonts w:ascii="Cambria" w:hAnsi="Cambria"/>
          <w:color w:val="000000"/>
          <w:sz w:val="24"/>
          <w:szCs w:val="24"/>
        </w:rPr>
        <w:lastRenderedPageBreak/>
        <w:t>Lorsque la vis tourne, la noix est entraînée en translation. C'est donc un mécanisme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de transformation de mouvement utilisant le principe de la vis et de l'écrou, c'est-à-dire la liaison hélicoïdale. En général il permet la transformation d'un mouvement de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132C2E">
        <w:rPr>
          <w:rFonts w:ascii="Cambria" w:hAnsi="Cambria"/>
          <w:color w:val="000000"/>
          <w:sz w:val="24"/>
          <w:szCs w:val="24"/>
        </w:rPr>
        <w:t>rotation en un mouvement de translation.</w:t>
      </w:r>
    </w:p>
    <w:p w:rsidR="00132C2E" w:rsidRPr="00132C2E" w:rsidRDefault="00132C2E" w:rsidP="00132C2E">
      <w:pPr>
        <w:spacing w:after="0" w:line="360" w:lineRule="auto"/>
        <w:jc w:val="center"/>
        <w:rPr>
          <w:rFonts w:ascii="Cambria" w:hAnsi="Cambria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8EEAAC7" wp14:editId="33A4BE6E">
            <wp:extent cx="6479540" cy="3827721"/>
            <wp:effectExtent l="0" t="0" r="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515" cy="382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2E" w:rsidRDefault="00132C2E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132C2E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10</w:t>
      </w:r>
      <w:r w:rsidRPr="00132C2E">
        <w:rPr>
          <w:rFonts w:ascii="Cambria" w:hAnsi="Cambria"/>
          <w:b/>
          <w:bCs/>
          <w:color w:val="000000"/>
          <w:sz w:val="24"/>
          <w:szCs w:val="24"/>
        </w:rPr>
        <w:t>. Vis et boulons</w:t>
      </w:r>
    </w:p>
    <w:p w:rsidR="00C87411" w:rsidRPr="00C87411" w:rsidRDefault="00C87411" w:rsidP="00C87411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C87411">
        <w:rPr>
          <w:rFonts w:ascii="Cambria" w:hAnsi="Cambria"/>
          <w:color w:val="000000"/>
          <w:sz w:val="24"/>
          <w:szCs w:val="24"/>
        </w:rPr>
        <w:t>Un écrou est un composant élémentaire d'un système vis/écrou destiné à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C87411">
        <w:rPr>
          <w:rFonts w:ascii="Cambria" w:hAnsi="Cambria"/>
          <w:color w:val="000000"/>
          <w:sz w:val="24"/>
          <w:szCs w:val="24"/>
        </w:rPr>
        <w:t>l'assemblage de pièces ou à la transformation de mouvement.</w:t>
      </w:r>
    </w:p>
    <w:p w:rsidR="00C87411" w:rsidRPr="00C87411" w:rsidRDefault="00C87411" w:rsidP="00C87411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C87411">
        <w:rPr>
          <w:rFonts w:ascii="Cambria" w:hAnsi="Cambria"/>
          <w:color w:val="000000"/>
          <w:sz w:val="24"/>
          <w:szCs w:val="24"/>
        </w:rPr>
        <w:t>Trois éléments fonctionnels sont à examiner dans l’étude d’un écrou :</w:t>
      </w:r>
    </w:p>
    <w:p w:rsidR="00C87411" w:rsidRPr="00C87411" w:rsidRDefault="00C87411" w:rsidP="00C87411">
      <w:pPr>
        <w:pStyle w:val="Paragraphedeliste"/>
        <w:numPr>
          <w:ilvl w:val="0"/>
          <w:numId w:val="12"/>
        </w:numPr>
        <w:spacing w:after="0" w:line="360" w:lineRule="auto"/>
        <w:rPr>
          <w:rFonts w:ascii="Cambria" w:hAnsi="Cambria"/>
          <w:color w:val="000000"/>
          <w:sz w:val="24"/>
          <w:szCs w:val="24"/>
        </w:rPr>
      </w:pPr>
      <w:r w:rsidRPr="00C87411">
        <w:rPr>
          <w:rFonts w:ascii="Cambria" w:hAnsi="Cambria"/>
          <w:color w:val="000000"/>
          <w:sz w:val="24"/>
          <w:szCs w:val="24"/>
        </w:rPr>
        <w:t>Sa surface d’appui</w:t>
      </w:r>
    </w:p>
    <w:p w:rsidR="00C87411" w:rsidRPr="00C87411" w:rsidRDefault="00C87411" w:rsidP="00C87411">
      <w:pPr>
        <w:pStyle w:val="Paragraphedeliste"/>
        <w:numPr>
          <w:ilvl w:val="0"/>
          <w:numId w:val="12"/>
        </w:numPr>
        <w:spacing w:after="0" w:line="360" w:lineRule="auto"/>
        <w:rPr>
          <w:rFonts w:ascii="Cambria" w:hAnsi="Cambria"/>
          <w:color w:val="000000"/>
          <w:sz w:val="24"/>
          <w:szCs w:val="24"/>
        </w:rPr>
      </w:pPr>
      <w:r w:rsidRPr="00C87411">
        <w:rPr>
          <w:rFonts w:ascii="Cambria" w:hAnsi="Cambria"/>
          <w:color w:val="000000"/>
          <w:sz w:val="24"/>
          <w:szCs w:val="24"/>
        </w:rPr>
        <w:t xml:space="preserve">Son système de </w:t>
      </w:r>
      <w:r w:rsidR="007A068F" w:rsidRPr="00C87411">
        <w:rPr>
          <w:rFonts w:ascii="Cambria" w:hAnsi="Cambria"/>
          <w:color w:val="000000"/>
          <w:sz w:val="24"/>
          <w:szCs w:val="24"/>
        </w:rPr>
        <w:t>manœuvre</w:t>
      </w:r>
    </w:p>
    <w:p w:rsidR="00C87411" w:rsidRPr="00C87411" w:rsidRDefault="00C87411" w:rsidP="00C87411">
      <w:pPr>
        <w:pStyle w:val="Paragraphedeliste"/>
        <w:numPr>
          <w:ilvl w:val="0"/>
          <w:numId w:val="12"/>
        </w:numPr>
        <w:spacing w:after="0" w:line="360" w:lineRule="auto"/>
        <w:rPr>
          <w:rFonts w:ascii="Cambria" w:hAnsi="Cambria"/>
          <w:color w:val="000000"/>
          <w:sz w:val="24"/>
          <w:szCs w:val="24"/>
        </w:rPr>
      </w:pPr>
      <w:r w:rsidRPr="00C87411">
        <w:rPr>
          <w:rFonts w:ascii="Cambria" w:hAnsi="Cambria"/>
          <w:color w:val="000000"/>
          <w:sz w:val="24"/>
          <w:szCs w:val="24"/>
        </w:rPr>
        <w:t>Son trou taraudé</w:t>
      </w:r>
    </w:p>
    <w:p w:rsidR="00C87411" w:rsidRDefault="00C87411" w:rsidP="00C87411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424663C" wp14:editId="62421D30">
            <wp:extent cx="3619500" cy="206692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11" w:rsidRPr="00C87411" w:rsidRDefault="00C87411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C87411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11</w:t>
      </w:r>
      <w:r w:rsidRPr="00C87411">
        <w:rPr>
          <w:rFonts w:ascii="Cambria" w:hAnsi="Cambria"/>
          <w:b/>
          <w:bCs/>
          <w:color w:val="000000"/>
          <w:sz w:val="24"/>
          <w:szCs w:val="24"/>
        </w:rPr>
        <w:t>. Ecrous</w:t>
      </w:r>
    </w:p>
    <w:p w:rsidR="007A068F" w:rsidRDefault="007A068F" w:rsidP="00C87411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</w:p>
    <w:p w:rsidR="00C87411" w:rsidRPr="00C87411" w:rsidRDefault="00C87411" w:rsidP="00C87411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  <w:r w:rsidRPr="00C87411">
        <w:rPr>
          <w:rFonts w:ascii="Cambria" w:hAnsi="Cambria"/>
          <w:b/>
          <w:bCs/>
          <w:color w:val="000000"/>
          <w:sz w:val="28"/>
          <w:szCs w:val="28"/>
        </w:rPr>
        <w:lastRenderedPageBreak/>
        <w:t>3.7 Goujons</w:t>
      </w:r>
    </w:p>
    <w:p w:rsidR="00C87411" w:rsidRPr="00C87411" w:rsidRDefault="00C87411" w:rsidP="00C87411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C87411">
        <w:rPr>
          <w:rFonts w:ascii="Cambria" w:hAnsi="Cambria"/>
          <w:color w:val="000000"/>
          <w:sz w:val="24"/>
          <w:szCs w:val="24"/>
        </w:rPr>
        <w:t>Dans certains cas, il est difficile d’employer un boulon à cause de la longueur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C87411">
        <w:rPr>
          <w:rFonts w:ascii="Cambria" w:hAnsi="Cambria"/>
          <w:color w:val="000000"/>
          <w:sz w:val="24"/>
          <w:szCs w:val="24"/>
        </w:rPr>
        <w:t>qu’on serait obligé de donner à sa tige et du logement qu’il faudrait prévoir pour sa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C87411">
        <w:rPr>
          <w:rFonts w:ascii="Cambria" w:hAnsi="Cambria"/>
          <w:color w:val="000000"/>
          <w:sz w:val="24"/>
          <w:szCs w:val="24"/>
        </w:rPr>
        <w:t>tête.</w:t>
      </w:r>
    </w:p>
    <w:p w:rsidR="00C87411" w:rsidRPr="00C87411" w:rsidRDefault="00C87411" w:rsidP="00C87411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C87411">
        <w:rPr>
          <w:rFonts w:ascii="Cambria" w:hAnsi="Cambria"/>
          <w:color w:val="000000"/>
          <w:sz w:val="24"/>
          <w:szCs w:val="24"/>
        </w:rPr>
        <w:t>La difficulté est résolue en faisant jouer à l’une des deux pièces le rôle d’une tête,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C87411">
        <w:rPr>
          <w:rFonts w:ascii="Cambria" w:hAnsi="Cambria"/>
          <w:color w:val="000000"/>
          <w:sz w:val="24"/>
          <w:szCs w:val="24"/>
        </w:rPr>
        <w:t>c’est-à-dire en rapportant sur cette pièce la tige du boulon « goujon ».</w:t>
      </w:r>
    </w:p>
    <w:p w:rsidR="00C87411" w:rsidRDefault="00C87411" w:rsidP="00C87411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C87411">
        <w:rPr>
          <w:rFonts w:ascii="Cambria" w:hAnsi="Cambria"/>
          <w:color w:val="000000"/>
          <w:sz w:val="24"/>
          <w:szCs w:val="24"/>
        </w:rPr>
        <w:t>Un goujon est un organe mécanique en forme de tige, en partie fileté, permettant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C87411">
        <w:rPr>
          <w:rFonts w:ascii="Cambria" w:hAnsi="Cambria"/>
          <w:color w:val="000000"/>
          <w:sz w:val="24"/>
          <w:szCs w:val="24"/>
        </w:rPr>
        <w:t>de réaliser une liaison « complète, rigide, démontable » entre une pièce équipée du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C87411">
        <w:rPr>
          <w:rFonts w:ascii="Cambria" w:hAnsi="Cambria"/>
          <w:color w:val="000000"/>
          <w:sz w:val="24"/>
          <w:szCs w:val="24"/>
        </w:rPr>
        <w:t>goujon et une ou plusieurs autres traversées par le goujon et verrouillée par un écrou.</w:t>
      </w:r>
    </w:p>
    <w:p w:rsidR="00C87411" w:rsidRPr="00C87411" w:rsidRDefault="00C87411" w:rsidP="00C87411">
      <w:pPr>
        <w:spacing w:after="0" w:line="360" w:lineRule="auto"/>
        <w:jc w:val="center"/>
        <w:rPr>
          <w:rFonts w:ascii="Cambria" w:hAnsi="Cambria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A6662BD" wp14:editId="0F7F86CC">
            <wp:extent cx="5524500" cy="2028825"/>
            <wp:effectExtent l="0" t="0" r="0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2E" w:rsidRDefault="00C87411" w:rsidP="00E25C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C87411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25C77">
        <w:rPr>
          <w:rFonts w:ascii="Cambria" w:hAnsi="Cambria"/>
          <w:b/>
          <w:bCs/>
          <w:color w:val="000000"/>
          <w:sz w:val="24"/>
          <w:szCs w:val="24"/>
        </w:rPr>
        <w:t>12</w:t>
      </w:r>
      <w:r w:rsidRPr="00C87411">
        <w:rPr>
          <w:rFonts w:ascii="Cambria" w:hAnsi="Cambria"/>
          <w:b/>
          <w:bCs/>
          <w:color w:val="000000"/>
          <w:sz w:val="24"/>
          <w:szCs w:val="24"/>
        </w:rPr>
        <w:t>. Goujons</w:t>
      </w:r>
    </w:p>
    <w:p w:rsidR="00E81770" w:rsidRDefault="00E81770" w:rsidP="00E81770">
      <w:pPr>
        <w:spacing w:after="0" w:line="360" w:lineRule="auto"/>
        <w:rPr>
          <w:rFonts w:ascii="Cambria" w:hAnsi="Cambria"/>
          <w:b/>
          <w:bCs/>
          <w:color w:val="000000"/>
          <w:sz w:val="24"/>
          <w:szCs w:val="24"/>
        </w:rPr>
      </w:pPr>
    </w:p>
    <w:p w:rsidR="00E81770" w:rsidRPr="007A068F" w:rsidRDefault="00E81770" w:rsidP="00E81770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  <w:r w:rsidRPr="007A068F">
        <w:rPr>
          <w:rFonts w:ascii="Cambria" w:hAnsi="Cambria"/>
          <w:b/>
          <w:bCs/>
          <w:color w:val="000000"/>
          <w:sz w:val="28"/>
          <w:szCs w:val="28"/>
        </w:rPr>
        <w:t>3.8 Le clavetage</w:t>
      </w:r>
    </w:p>
    <w:p w:rsidR="00E81770" w:rsidRPr="00E81770" w:rsidRDefault="00E81770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>Une clavette est une pièce qui a pour fonction de lier en rotation deux pièces. Les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81770">
        <w:rPr>
          <w:rFonts w:ascii="Cambria" w:hAnsi="Cambria"/>
          <w:color w:val="000000"/>
          <w:sz w:val="24"/>
          <w:szCs w:val="24"/>
        </w:rPr>
        <w:t>clavetages forcés peuvent être considérés comme des liaisons par obstacle. Mais la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81770">
        <w:rPr>
          <w:rFonts w:ascii="Cambria" w:hAnsi="Cambria"/>
          <w:color w:val="000000"/>
          <w:sz w:val="24"/>
          <w:szCs w:val="24"/>
        </w:rPr>
        <w:t>stabilité de l’organe d’assemblage formant obstacle (clavette) est obtenue par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81770">
        <w:rPr>
          <w:rFonts w:ascii="Cambria" w:hAnsi="Cambria"/>
          <w:color w:val="000000"/>
          <w:sz w:val="24"/>
          <w:szCs w:val="24"/>
        </w:rPr>
        <w:t>coincement, donc par adhérence.</w:t>
      </w:r>
    </w:p>
    <w:p w:rsidR="00E81770" w:rsidRPr="00E81770" w:rsidRDefault="00E81770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>Le clavetage est dit transversal ou longitudinal, suivant la position de la clavette.</w:t>
      </w:r>
    </w:p>
    <w:p w:rsidR="00E81770" w:rsidRPr="00E81770" w:rsidRDefault="00E81770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>La liaison « complète » obtenue n’est pas apte à transmettre des efforts importants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81770">
        <w:rPr>
          <w:rFonts w:ascii="Cambria" w:hAnsi="Cambria"/>
          <w:color w:val="000000"/>
          <w:sz w:val="24"/>
          <w:szCs w:val="24"/>
        </w:rPr>
        <w:t>dans toutes les directions.</w:t>
      </w:r>
    </w:p>
    <w:p w:rsidR="00E81770" w:rsidRDefault="007A068F" w:rsidP="002E414B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49E8227" wp14:editId="1ADD23F9">
            <wp:extent cx="6037989" cy="2456121"/>
            <wp:effectExtent l="0" t="0" r="1270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43305" cy="245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770" w:rsidRPr="00E81770" w:rsidRDefault="00E81770" w:rsidP="00EC07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E81770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C0777">
        <w:rPr>
          <w:rFonts w:ascii="Cambria" w:hAnsi="Cambria"/>
          <w:b/>
          <w:bCs/>
          <w:color w:val="000000"/>
          <w:sz w:val="24"/>
          <w:szCs w:val="24"/>
        </w:rPr>
        <w:t>13</w:t>
      </w:r>
      <w:r w:rsidRPr="00E81770">
        <w:rPr>
          <w:rFonts w:ascii="Cambria" w:hAnsi="Cambria"/>
          <w:b/>
          <w:bCs/>
          <w:color w:val="000000"/>
          <w:sz w:val="24"/>
          <w:szCs w:val="24"/>
        </w:rPr>
        <w:t>. Clavetage</w:t>
      </w:r>
    </w:p>
    <w:p w:rsidR="00E81770" w:rsidRPr="007A068F" w:rsidRDefault="00E81770" w:rsidP="002E414B">
      <w:pPr>
        <w:spacing w:after="0" w:line="360" w:lineRule="auto"/>
        <w:jc w:val="both"/>
        <w:rPr>
          <w:rFonts w:ascii="Cambria" w:hAnsi="Cambria"/>
          <w:b/>
          <w:bCs/>
          <w:color w:val="000000"/>
          <w:sz w:val="28"/>
          <w:szCs w:val="28"/>
        </w:rPr>
      </w:pPr>
      <w:r w:rsidRPr="007A068F">
        <w:rPr>
          <w:rFonts w:ascii="Cambria" w:hAnsi="Cambria"/>
          <w:b/>
          <w:bCs/>
          <w:color w:val="000000"/>
          <w:sz w:val="28"/>
          <w:szCs w:val="28"/>
        </w:rPr>
        <w:lastRenderedPageBreak/>
        <w:t>3.9 Le Clinchage</w:t>
      </w:r>
    </w:p>
    <w:p w:rsidR="00E81770" w:rsidRPr="00E81770" w:rsidRDefault="00E81770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>C’est une technique d'assemblage mécanique de tôles métalliques (3) et (4). Le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81770">
        <w:rPr>
          <w:rFonts w:ascii="Cambria" w:hAnsi="Cambria"/>
          <w:color w:val="000000"/>
          <w:sz w:val="24"/>
          <w:szCs w:val="24"/>
        </w:rPr>
        <w:t>principe de base est de connecter deux tôles métalliques par emboutissage entre un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81770">
        <w:rPr>
          <w:rFonts w:ascii="Cambria" w:hAnsi="Cambria"/>
          <w:color w:val="000000"/>
          <w:sz w:val="24"/>
          <w:szCs w:val="24"/>
        </w:rPr>
        <w:t>poinçon (1), guidé par une presse (2), et une matrice (5), et éjectées par un doigt (6).</w:t>
      </w:r>
    </w:p>
    <w:p w:rsidR="00E81770" w:rsidRPr="00E81770" w:rsidRDefault="00E81770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 xml:space="preserve">Les tôles subissent localement une déformation plastique à froid, formant un point </w:t>
      </w:r>
      <w:r w:rsidRPr="00E81770">
        <w:rPr>
          <w:rFonts w:ascii="Cambria" w:hAnsi="Cambria"/>
          <w:color w:val="000000"/>
          <w:sz w:val="24"/>
          <w:szCs w:val="24"/>
        </w:rPr>
        <w:t>déconnexion</w:t>
      </w:r>
      <w:r w:rsidRPr="00E81770">
        <w:rPr>
          <w:rFonts w:ascii="Cambria" w:hAnsi="Cambria"/>
          <w:color w:val="000000"/>
          <w:sz w:val="24"/>
          <w:szCs w:val="24"/>
        </w:rPr>
        <w:t>. Le formage à froid est utilisé comme technique d'assemblage. Voir un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E81770">
        <w:rPr>
          <w:rFonts w:ascii="Cambria" w:hAnsi="Cambria"/>
          <w:color w:val="000000"/>
          <w:sz w:val="24"/>
          <w:szCs w:val="24"/>
        </w:rPr>
        <w:t>exemple.</w:t>
      </w:r>
    </w:p>
    <w:p w:rsidR="00E81770" w:rsidRPr="00E81770" w:rsidRDefault="00E81770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>Le clinchage présente d'importants avantages :</w:t>
      </w:r>
    </w:p>
    <w:p w:rsidR="00E81770" w:rsidRPr="00E81770" w:rsidRDefault="00E81770" w:rsidP="002E414B">
      <w:pPr>
        <w:pStyle w:val="Paragraphedeliste"/>
        <w:numPr>
          <w:ilvl w:val="0"/>
          <w:numId w:val="13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>Il ne nécessite pas d'apport de matière comme avec la soudure ou le</w:t>
      </w:r>
      <w:r w:rsidRPr="00E81770">
        <w:rPr>
          <w:rFonts w:ascii="Cambria" w:hAnsi="Cambria"/>
          <w:color w:val="000000"/>
          <w:sz w:val="24"/>
          <w:szCs w:val="24"/>
        </w:rPr>
        <w:t xml:space="preserve"> brasage ;</w:t>
      </w:r>
    </w:p>
    <w:p w:rsidR="00E81770" w:rsidRPr="00E81770" w:rsidRDefault="00E81770" w:rsidP="002E414B">
      <w:pPr>
        <w:pStyle w:val="Paragraphedeliste"/>
        <w:numPr>
          <w:ilvl w:val="0"/>
          <w:numId w:val="13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 xml:space="preserve">Il permet d'assembler des tôles d'épaisseurs </w:t>
      </w:r>
      <w:r w:rsidRPr="00E81770">
        <w:rPr>
          <w:rFonts w:ascii="Cambria" w:hAnsi="Cambria"/>
          <w:color w:val="000000"/>
          <w:sz w:val="24"/>
          <w:szCs w:val="24"/>
        </w:rPr>
        <w:t>différentes ;</w:t>
      </w:r>
    </w:p>
    <w:p w:rsidR="00E81770" w:rsidRPr="00E81770" w:rsidRDefault="00E81770" w:rsidP="002E414B">
      <w:pPr>
        <w:pStyle w:val="Paragraphedeliste"/>
        <w:numPr>
          <w:ilvl w:val="0"/>
          <w:numId w:val="13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>Il permet l'utilisation de tôles de matières différentes (ex. alu et acier</w:t>
      </w:r>
      <w:r w:rsidRPr="00E81770">
        <w:rPr>
          <w:rFonts w:ascii="Cambria" w:hAnsi="Cambria"/>
          <w:color w:val="000000"/>
          <w:sz w:val="24"/>
          <w:szCs w:val="24"/>
        </w:rPr>
        <w:t>) ;</w:t>
      </w:r>
    </w:p>
    <w:p w:rsidR="00E81770" w:rsidRPr="00E81770" w:rsidRDefault="00E81770" w:rsidP="002E414B">
      <w:pPr>
        <w:pStyle w:val="Paragraphedeliste"/>
        <w:numPr>
          <w:ilvl w:val="0"/>
          <w:numId w:val="13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 xml:space="preserve">Il permet l'utilisation de tôle déjà peinte ou traitée </w:t>
      </w:r>
      <w:r w:rsidRPr="00E81770">
        <w:rPr>
          <w:rFonts w:ascii="Cambria" w:hAnsi="Cambria"/>
          <w:color w:val="000000"/>
          <w:sz w:val="24"/>
          <w:szCs w:val="24"/>
        </w:rPr>
        <w:t>anticorrosion</w:t>
      </w:r>
      <w:r w:rsidRPr="00E81770">
        <w:rPr>
          <w:rFonts w:ascii="Cambria" w:hAnsi="Cambria"/>
          <w:color w:val="000000"/>
          <w:sz w:val="24"/>
          <w:szCs w:val="24"/>
        </w:rPr>
        <w:t>.</w:t>
      </w:r>
    </w:p>
    <w:p w:rsidR="00C87411" w:rsidRDefault="00E81770" w:rsidP="002E414B">
      <w:pPr>
        <w:pStyle w:val="Paragraphedeliste"/>
        <w:numPr>
          <w:ilvl w:val="0"/>
          <w:numId w:val="13"/>
        </w:num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E81770">
        <w:rPr>
          <w:rFonts w:ascii="Cambria" w:hAnsi="Cambria"/>
          <w:color w:val="000000"/>
          <w:sz w:val="24"/>
          <w:szCs w:val="24"/>
        </w:rPr>
        <w:t>Par contre c'est un assemblage non étanche</w:t>
      </w:r>
    </w:p>
    <w:p w:rsidR="002E414B" w:rsidRDefault="002E414B" w:rsidP="002E414B">
      <w:pPr>
        <w:spacing w:after="0" w:line="360" w:lineRule="auto"/>
        <w:jc w:val="center"/>
        <w:rPr>
          <w:rFonts w:ascii="Cambria" w:hAnsi="Cambria"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D9C9AF8" wp14:editId="6A42D639">
            <wp:extent cx="2390775" cy="2171700"/>
            <wp:effectExtent l="0" t="0" r="952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14B" w:rsidRDefault="002E414B" w:rsidP="00EC07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2E414B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C0777">
        <w:rPr>
          <w:rFonts w:ascii="Cambria" w:hAnsi="Cambria"/>
          <w:b/>
          <w:bCs/>
          <w:color w:val="000000"/>
          <w:sz w:val="24"/>
          <w:szCs w:val="24"/>
        </w:rPr>
        <w:t>14</w:t>
      </w:r>
      <w:r w:rsidRPr="002E414B">
        <w:rPr>
          <w:rFonts w:ascii="Cambria" w:hAnsi="Cambria"/>
          <w:b/>
          <w:bCs/>
          <w:color w:val="000000"/>
          <w:sz w:val="24"/>
          <w:szCs w:val="24"/>
        </w:rPr>
        <w:t>. Le Clinchage</w:t>
      </w:r>
    </w:p>
    <w:p w:rsidR="002E414B" w:rsidRPr="002E414B" w:rsidRDefault="002E414B" w:rsidP="002E414B">
      <w:pPr>
        <w:spacing w:after="0" w:line="360" w:lineRule="auto"/>
        <w:jc w:val="both"/>
        <w:rPr>
          <w:rFonts w:ascii="Cambria" w:hAnsi="Cambria"/>
          <w:b/>
          <w:bCs/>
          <w:color w:val="000000"/>
          <w:sz w:val="28"/>
          <w:szCs w:val="28"/>
        </w:rPr>
      </w:pPr>
      <w:r w:rsidRPr="002E414B">
        <w:rPr>
          <w:rFonts w:ascii="Cambria" w:hAnsi="Cambria"/>
          <w:b/>
          <w:bCs/>
          <w:color w:val="000000"/>
          <w:sz w:val="28"/>
          <w:szCs w:val="28"/>
        </w:rPr>
        <w:t>3.10 Le frettage</w:t>
      </w:r>
    </w:p>
    <w:p w:rsidR="002E414B" w:rsidRDefault="002E414B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E414B">
        <w:rPr>
          <w:rFonts w:ascii="Cambria" w:hAnsi="Cambria"/>
          <w:color w:val="000000"/>
          <w:sz w:val="24"/>
          <w:szCs w:val="24"/>
        </w:rPr>
        <w:t>C’est l’assemblage de deux pièces grâce à un ajustement serré.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La pièce extérieure est appelée « frette », la pièce intérieure est dite « frettée ».</w:t>
      </w:r>
      <w:r>
        <w:rPr>
          <w:rFonts w:ascii="Cambria" w:hAnsi="Cambria"/>
          <w:color w:val="000000"/>
          <w:sz w:val="24"/>
          <w:szCs w:val="24"/>
        </w:rPr>
        <w:t xml:space="preserve"> </w:t>
      </w:r>
    </w:p>
    <w:p w:rsidR="002E414B" w:rsidRDefault="002E414B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E414B">
        <w:rPr>
          <w:rFonts w:ascii="Cambria" w:hAnsi="Cambria"/>
          <w:color w:val="000000"/>
          <w:sz w:val="24"/>
          <w:szCs w:val="24"/>
        </w:rPr>
        <w:t>L'assemblage est réalisé avec des tolérances d'usinage qui interdisent son montage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à la main ou même à la presse. La solution la plus simple, quand elle est possible sans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détérioration du matériau, est de chauffer la frette pour la dilater avant de l'enfiler sur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l'élément qu'il faut fretter. On peut à l'inverse refroidir l'élément intérieur à l'azote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liquide ou à la glace carbonique pour le contracter et l'engager dans la frette, mais ces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solutions sont plus onéreuses. Dans certains cas, par exemple pour des outils de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frittage ou de forgeage, on est obligé de pratiquer en même temps la dilatation de la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frette et la contraction de l'élément fretté.</w:t>
      </w:r>
    </w:p>
    <w:p w:rsidR="002E414B" w:rsidRPr="002E414B" w:rsidRDefault="002E414B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E414B">
        <w:rPr>
          <w:rFonts w:ascii="Cambria" w:hAnsi="Cambria"/>
          <w:color w:val="000000"/>
          <w:sz w:val="24"/>
          <w:szCs w:val="24"/>
        </w:rPr>
        <w:t>Utilisation : La plupart du temps on pratique le frettage pour assurer la cohésion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d'un ensemble d'éléments ou pour éviter l'éclatement d'un élément sous pression.</w:t>
      </w:r>
    </w:p>
    <w:p w:rsidR="002E414B" w:rsidRPr="002E414B" w:rsidRDefault="002E414B" w:rsidP="002E414B">
      <w:pPr>
        <w:spacing w:after="0" w:line="360" w:lineRule="auto"/>
        <w:jc w:val="both"/>
        <w:rPr>
          <w:rFonts w:ascii="Cambria" w:hAnsi="Cambria"/>
          <w:color w:val="000000"/>
          <w:sz w:val="24"/>
          <w:szCs w:val="24"/>
        </w:rPr>
      </w:pPr>
      <w:r w:rsidRPr="002E414B">
        <w:rPr>
          <w:rFonts w:ascii="Cambria" w:hAnsi="Cambria"/>
          <w:color w:val="000000"/>
          <w:sz w:val="24"/>
          <w:szCs w:val="24"/>
        </w:rPr>
        <w:t>Les cercles qui ceinturent les tonneaux pour assurer l'étanchéité des douelles, les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bandages des anciennes roues de chars en bois, sont des frettes.</w:t>
      </w:r>
    </w:p>
    <w:p w:rsidR="002E414B" w:rsidRDefault="002E414B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E414B">
        <w:rPr>
          <w:rFonts w:ascii="Cambria" w:hAnsi="Cambria"/>
          <w:color w:val="000000"/>
          <w:sz w:val="24"/>
          <w:szCs w:val="24"/>
        </w:rPr>
        <w:lastRenderedPageBreak/>
        <w:t>Les anneaux que l'on voit autour des parties basses des conduites forcées, ou ceux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qui ceinturent les outillages de frittage, de filage par chocs, etc., sont également des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frettes.</w:t>
      </w:r>
    </w:p>
    <w:p w:rsidR="002E414B" w:rsidRDefault="002E414B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</w:p>
    <w:p w:rsidR="002E414B" w:rsidRPr="002E414B" w:rsidRDefault="002E414B" w:rsidP="002E414B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  <w:r w:rsidRPr="002E414B">
        <w:rPr>
          <w:rFonts w:ascii="Cambria" w:hAnsi="Cambria"/>
          <w:b/>
          <w:bCs/>
          <w:color w:val="000000"/>
          <w:sz w:val="28"/>
          <w:szCs w:val="28"/>
        </w:rPr>
        <w:t>3.11 L'emboîtage élastique</w:t>
      </w:r>
    </w:p>
    <w:p w:rsidR="002E414B" w:rsidRPr="002E414B" w:rsidRDefault="002E414B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E414B">
        <w:rPr>
          <w:rFonts w:ascii="Cambria" w:hAnsi="Cambria"/>
          <w:color w:val="000000"/>
          <w:sz w:val="24"/>
          <w:szCs w:val="24"/>
        </w:rPr>
        <w:t>C’est un mode d'assemblage (une emboîture) où les éléments sont déformés lors de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l'introduction. Après la construction, il n'y a plus de contraintes et les éléments ne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peuvent être plus séparés. La vue en coupe ci-contre en expose graphiquement le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principe : la pièce bleue (pièce mâle) ne peut manifestement plus bouger sans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déformer la pièce verte (pièce femelle).</w:t>
      </w:r>
    </w:p>
    <w:p w:rsidR="002E414B" w:rsidRDefault="002E414B" w:rsidP="002E414B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A3F471C" wp14:editId="599F6B5A">
            <wp:extent cx="1890775" cy="1520456"/>
            <wp:effectExtent l="0" t="0" r="0" b="381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95579" cy="15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14B" w:rsidRPr="002E414B" w:rsidRDefault="002E414B" w:rsidP="00EC0777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2E414B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EC0777">
        <w:rPr>
          <w:rFonts w:ascii="Cambria" w:hAnsi="Cambria"/>
          <w:b/>
          <w:bCs/>
          <w:color w:val="000000"/>
          <w:sz w:val="24"/>
          <w:szCs w:val="24"/>
        </w:rPr>
        <w:t>15</w:t>
      </w:r>
      <w:r w:rsidRPr="002E414B">
        <w:rPr>
          <w:rFonts w:ascii="Cambria" w:hAnsi="Cambria"/>
          <w:b/>
          <w:bCs/>
          <w:color w:val="000000"/>
          <w:sz w:val="24"/>
          <w:szCs w:val="24"/>
        </w:rPr>
        <w:t>. Emboitage élastique</w:t>
      </w:r>
    </w:p>
    <w:p w:rsidR="002E414B" w:rsidRPr="002E414B" w:rsidRDefault="002E414B" w:rsidP="002E414B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  <w:r w:rsidRPr="002E414B">
        <w:rPr>
          <w:rFonts w:ascii="Cambria" w:hAnsi="Cambria"/>
          <w:b/>
          <w:bCs/>
          <w:color w:val="000000"/>
          <w:sz w:val="28"/>
          <w:szCs w:val="28"/>
        </w:rPr>
        <w:t>3.12 Un embrèvement</w:t>
      </w:r>
    </w:p>
    <w:p w:rsidR="002E414B" w:rsidRPr="002E414B" w:rsidRDefault="002E414B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E414B">
        <w:rPr>
          <w:rFonts w:ascii="Cambria" w:hAnsi="Cambria"/>
          <w:color w:val="000000"/>
          <w:sz w:val="24"/>
          <w:szCs w:val="24"/>
        </w:rPr>
        <w:t>C’est une technique d'assemblage pour deux pièces (de bois ou de tôle). L'une des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pièces possède la languette ou le tenon destiné à s'emmancher dans la rainure ou la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mortaise de l'autre pièce. En menuiserie et charpente, normalement, la largeur de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l'embrèvement est égale à environ un tiers de la largeur totale de la pièce.</w:t>
      </w:r>
    </w:p>
    <w:p w:rsidR="002E414B" w:rsidRPr="002E414B" w:rsidRDefault="002E414B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E414B">
        <w:rPr>
          <w:rFonts w:ascii="Cambria" w:hAnsi="Cambria"/>
          <w:color w:val="000000"/>
          <w:sz w:val="24"/>
          <w:szCs w:val="24"/>
        </w:rPr>
        <w:t>En tôlerie, c'est une forme emboutie dans une tôle et destinée à servir de logement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pour une pièce ne devant pas être en saillie.</w:t>
      </w:r>
    </w:p>
    <w:p w:rsidR="002E414B" w:rsidRDefault="002E414B" w:rsidP="002E414B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</w:p>
    <w:p w:rsidR="002E414B" w:rsidRPr="002E414B" w:rsidRDefault="002E414B" w:rsidP="002E414B">
      <w:pPr>
        <w:spacing w:after="0" w:line="360" w:lineRule="auto"/>
        <w:rPr>
          <w:rFonts w:ascii="Cambria" w:hAnsi="Cambria"/>
          <w:b/>
          <w:bCs/>
          <w:color w:val="000000"/>
          <w:sz w:val="28"/>
          <w:szCs w:val="28"/>
        </w:rPr>
      </w:pPr>
      <w:r w:rsidRPr="002E414B">
        <w:rPr>
          <w:rFonts w:ascii="Cambria" w:hAnsi="Cambria"/>
          <w:b/>
          <w:bCs/>
          <w:color w:val="000000"/>
          <w:sz w:val="28"/>
          <w:szCs w:val="28"/>
        </w:rPr>
        <w:t>3.13 Le sertissage</w:t>
      </w:r>
    </w:p>
    <w:p w:rsidR="002E414B" w:rsidRPr="002E414B" w:rsidRDefault="002E414B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E414B">
        <w:rPr>
          <w:rFonts w:ascii="Cambria" w:hAnsi="Cambria"/>
          <w:color w:val="000000"/>
          <w:sz w:val="24"/>
          <w:szCs w:val="24"/>
        </w:rPr>
        <w:t>C’est une technique pouvant être utilisée pour l'assemblage de tôles (minces).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Les bords des tôles sont rabattus et compressés.</w:t>
      </w:r>
    </w:p>
    <w:p w:rsidR="002E414B" w:rsidRPr="002E414B" w:rsidRDefault="002E414B" w:rsidP="002E414B">
      <w:pPr>
        <w:spacing w:after="0" w:line="360" w:lineRule="auto"/>
        <w:ind w:firstLine="708"/>
        <w:jc w:val="both"/>
        <w:rPr>
          <w:rFonts w:ascii="Cambria" w:hAnsi="Cambria"/>
          <w:color w:val="000000"/>
          <w:sz w:val="24"/>
          <w:szCs w:val="24"/>
        </w:rPr>
      </w:pPr>
      <w:r w:rsidRPr="002E414B">
        <w:rPr>
          <w:rFonts w:ascii="Cambria" w:hAnsi="Cambria"/>
          <w:color w:val="000000"/>
          <w:sz w:val="24"/>
          <w:szCs w:val="24"/>
        </w:rPr>
        <w:t>Un exemple connu du sertissage est l'assemblage entre le fond et le corps d'une</w:t>
      </w:r>
      <w:r>
        <w:rPr>
          <w:rFonts w:ascii="Cambria" w:hAnsi="Cambria"/>
          <w:color w:val="000000"/>
          <w:sz w:val="24"/>
          <w:szCs w:val="24"/>
        </w:rPr>
        <w:t xml:space="preserve"> </w:t>
      </w:r>
      <w:r w:rsidRPr="002E414B">
        <w:rPr>
          <w:rFonts w:ascii="Cambria" w:hAnsi="Cambria"/>
          <w:color w:val="000000"/>
          <w:sz w:val="24"/>
          <w:szCs w:val="24"/>
        </w:rPr>
        <w:t>boîte de conserve.</w:t>
      </w:r>
    </w:p>
    <w:p w:rsidR="002E414B" w:rsidRDefault="002E414B" w:rsidP="002E414B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D5E6EE3" wp14:editId="12DB2BEE">
            <wp:extent cx="5756526" cy="1505136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9409" cy="15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14B" w:rsidRPr="002E414B" w:rsidRDefault="002E414B" w:rsidP="004D14E6">
      <w:pPr>
        <w:spacing w:after="0" w:line="360" w:lineRule="auto"/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2E414B">
        <w:rPr>
          <w:rFonts w:ascii="Cambria" w:hAnsi="Cambria"/>
          <w:b/>
          <w:bCs/>
          <w:color w:val="000000"/>
          <w:sz w:val="24"/>
          <w:szCs w:val="24"/>
        </w:rPr>
        <w:t>Fig.</w:t>
      </w:r>
      <w:r w:rsidR="004D14E6">
        <w:rPr>
          <w:rFonts w:ascii="Cambria" w:hAnsi="Cambria"/>
          <w:b/>
          <w:bCs/>
          <w:color w:val="000000"/>
          <w:sz w:val="24"/>
          <w:szCs w:val="24"/>
        </w:rPr>
        <w:t>16</w:t>
      </w:r>
      <w:r w:rsidRPr="002E414B">
        <w:rPr>
          <w:rFonts w:ascii="Cambria" w:hAnsi="Cambria"/>
          <w:b/>
          <w:bCs/>
          <w:color w:val="000000"/>
          <w:sz w:val="24"/>
          <w:szCs w:val="24"/>
        </w:rPr>
        <w:t>. Le sertissage</w:t>
      </w:r>
    </w:p>
    <w:sectPr w:rsidR="002E414B" w:rsidRPr="002E414B" w:rsidSect="002F086F">
      <w:headerReference w:type="default" r:id="rId23"/>
      <w:pgSz w:w="11906" w:h="16838"/>
      <w:pgMar w:top="851" w:right="851" w:bottom="851" w:left="85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2BD" w:rsidRDefault="001D12BD" w:rsidP="001B0D14">
      <w:pPr>
        <w:spacing w:after="0" w:line="240" w:lineRule="auto"/>
      </w:pPr>
      <w:r>
        <w:separator/>
      </w:r>
    </w:p>
  </w:endnote>
  <w:endnote w:type="continuationSeparator" w:id="0">
    <w:p w:rsidR="001D12BD" w:rsidRDefault="001D12BD" w:rsidP="001B0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-Italic">
    <w:altName w:val="Times New Roman"/>
    <w:panose1 w:val="00000000000000000000"/>
    <w:charset w:val="00"/>
    <w:family w:val="roman"/>
    <w:notTrueType/>
    <w:pitch w:val="default"/>
  </w:font>
  <w:font w:name="Cambria-BoldItal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2BD" w:rsidRDefault="001D12BD" w:rsidP="001B0D14">
      <w:pPr>
        <w:spacing w:after="0" w:line="240" w:lineRule="auto"/>
      </w:pPr>
      <w:r>
        <w:separator/>
      </w:r>
    </w:p>
  </w:footnote>
  <w:footnote w:type="continuationSeparator" w:id="0">
    <w:p w:rsidR="001D12BD" w:rsidRDefault="001D12BD" w:rsidP="001B0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86F" w:rsidRPr="00F819EB" w:rsidRDefault="002F086F" w:rsidP="0064530F">
    <w:pPr>
      <w:spacing w:after="0"/>
      <w:jc w:val="center"/>
      <w:rPr>
        <w:rFonts w:ascii="Cambria-Italic" w:hAnsi="Cambria-Italic"/>
        <w:i/>
        <w:iCs/>
        <w:sz w:val="24"/>
        <w:szCs w:val="24"/>
        <w:u w:val="single"/>
      </w:rPr>
    </w:pPr>
    <w:r w:rsidRPr="002F086F">
      <w:rPr>
        <w:rFonts w:ascii="Cambria-Italic" w:hAnsi="Cambria-Italic"/>
        <w:b/>
        <w:bCs/>
        <w:i/>
        <w:iCs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-47404</wp:posOffset>
              </wp:positionH>
              <wp:positionV relativeFrom="paragraph">
                <wp:posOffset>186055</wp:posOffset>
              </wp:positionV>
              <wp:extent cx="6647290" cy="15903"/>
              <wp:effectExtent l="0" t="0" r="20320" b="22225"/>
              <wp:wrapNone/>
              <wp:docPr id="14" name="Connecteur droi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290" cy="15903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1A88A5" id="Connecteur droit 1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4.65pt" to="519.6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xd9vAEAALsDAAAOAAAAZHJzL2Uyb0RvYy54bWysU8tu2zAQvBfoPxC815Kd1G0Eyzk4aC9F&#10;azTtBzDU0iLKF5aMJf99l5StFG2QQ9ALRXJndneGq83taA07AkbtXcuXi5ozcNJ32h1a/vPHp3cf&#10;OYtJuE4Y76DlJ4j8dvv2zWYIDax8700HyCiJi80QWt6nFJqqirIHK+LCB3AUVB6tSHTEQ9WhGCi7&#10;NdWqrtfV4LEL6CXESLd3U5BvS36lQKZvSkVIzLScektlxbI+5LXabkRzQBF6Lc9tiFd0YYV2VHRO&#10;dSeSYI+o/0lltUQfvUoL6W3lldISigZSs6z/UnPfiwBFC5kTw2xT/H9p5dfjHpnu6O2uOXPC0hvt&#10;vHNkHDwi69DrxChEPg0hNgTfuT2eTzHsMYseFdr8JTlsLN6eZm9hTEzS5Xp9/WF1Q08gKbZ8f1Nf&#10;5ZzVEzlgTJ/BW5Y3LTfaZemiEccvMU3QC4R4uZmpfNmlk4EMNu47KJJDBa8KuwwS7Ayyo6AR6H4t&#10;z2ULMlOUNmYm1S+TzthMgzJcM3H1MnFGl4repZlotfP4HDmNl1bVhL+onrRm2Q++O5XHKHbQhBRD&#10;z9OcR/DPc6E//XPb3wAAAP//AwBQSwMEFAAGAAgAAAAhAH23lArgAAAACQEAAA8AAABkcnMvZG93&#10;bnJldi54bWxMj0FLw0AQhe+C/2EZwYu0mzbGtjGbIoKHCAq20vM0O02i2dmQ3abx37s56e0N7/He&#10;N9l2NK0YqHeNZQWLeQSCuLS64UrB5/5ltgbhPLLG1jIp+CEH2/z6KsNU2wt/0LDzlQgl7FJUUHvf&#10;pVK6siaDbm474uCdbG/Qh7OvpO7xEspNK5dR9CANNhwWauzouabye3c2Cr6KQ1Eld6vm9H6fvOJ+&#10;SN54KJS6vRmfHkF4Gv1fGCb8gA55YDraM2snWgWzVRKSCpabGMTkR/GkjgrixRpknsn/H+S/AAAA&#10;//8DAFBLAQItABQABgAIAAAAIQC2gziS/gAAAOEBAAATAAAAAAAAAAAAAAAAAAAAAABbQ29udGVu&#10;dF9UeXBlc10ueG1sUEsBAi0AFAAGAAgAAAAhADj9If/WAAAAlAEAAAsAAAAAAAAAAAAAAAAALwEA&#10;AF9yZWxzLy5yZWxzUEsBAi0AFAAGAAgAAAAhAD+HF328AQAAuwMAAA4AAAAAAAAAAAAAAAAALgIA&#10;AGRycy9lMm9Eb2MueG1sUEsBAi0AFAAGAAgAAAAhAH23lArgAAAACQEAAA8AAAAAAAAAAAAAAAAA&#10;FgQAAGRycy9kb3ducmV2LnhtbFBLBQYAAAAABAAEAPMAAAAjBQAAAAA=&#10;" strokecolor="black [3200]" strokeweight="1.5pt">
              <v:stroke joinstyle="miter"/>
            </v:line>
          </w:pict>
        </mc:Fallback>
      </mc:AlternateContent>
    </w:r>
    <w:r w:rsidRPr="002F086F">
      <w:rPr>
        <w:rFonts w:ascii="Cambria-Italic" w:hAnsi="Cambria-Italic"/>
        <w:b/>
        <w:bCs/>
        <w:i/>
        <w:iCs/>
        <w:sz w:val="24"/>
        <w:szCs w:val="24"/>
      </w:rPr>
      <w:t>Chapitre 0</w:t>
    </w:r>
    <w:r w:rsidR="0064530F">
      <w:rPr>
        <w:rFonts w:ascii="Cambria-Italic" w:hAnsi="Cambria-Italic"/>
        <w:b/>
        <w:bCs/>
        <w:i/>
        <w:iCs/>
        <w:sz w:val="24"/>
        <w:szCs w:val="24"/>
      </w:rPr>
      <w:t>4</w:t>
    </w:r>
    <w:r>
      <w:rPr>
        <w:rFonts w:ascii="Cambria-Italic" w:hAnsi="Cambria-Italic"/>
        <w:b/>
        <w:bCs/>
        <w:i/>
        <w:iCs/>
        <w:sz w:val="24"/>
        <w:szCs w:val="24"/>
      </w:rPr>
      <w:t> :</w:t>
    </w:r>
    <w:r w:rsidRPr="002F086F">
      <w:rPr>
        <w:rFonts w:ascii="Cambria-BoldItalic" w:hAnsi="Cambria-BoldItalic"/>
        <w:b/>
        <w:bCs/>
        <w:i/>
        <w:iCs/>
        <w:sz w:val="24"/>
        <w:szCs w:val="24"/>
      </w:rPr>
      <w:t xml:space="preserve"> </w:t>
    </w:r>
    <w:r w:rsidR="0064530F" w:rsidRPr="0064530F">
      <w:rPr>
        <w:rFonts w:ascii="Cambria-BoldItalic" w:hAnsi="Cambria-BoldItalic"/>
        <w:i/>
        <w:iCs/>
        <w:sz w:val="24"/>
        <w:szCs w:val="24"/>
      </w:rPr>
      <w:t>Techniques d’assemblage</w:t>
    </w:r>
  </w:p>
  <w:p w:rsidR="002F086F" w:rsidRPr="00F819EB" w:rsidRDefault="002F086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338E1"/>
    <w:multiLevelType w:val="hybridMultilevel"/>
    <w:tmpl w:val="FB941A1A"/>
    <w:lvl w:ilvl="0" w:tplc="11425C6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045BC"/>
    <w:multiLevelType w:val="hybridMultilevel"/>
    <w:tmpl w:val="97923F4E"/>
    <w:lvl w:ilvl="0" w:tplc="67A23B2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4F1A51"/>
    <w:multiLevelType w:val="hybridMultilevel"/>
    <w:tmpl w:val="B6FED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43D42"/>
    <w:multiLevelType w:val="hybridMultilevel"/>
    <w:tmpl w:val="EE98CEEC"/>
    <w:lvl w:ilvl="0" w:tplc="11425C6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41EDB"/>
    <w:multiLevelType w:val="hybridMultilevel"/>
    <w:tmpl w:val="F9700570"/>
    <w:lvl w:ilvl="0" w:tplc="11425C6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E32C99"/>
    <w:multiLevelType w:val="hybridMultilevel"/>
    <w:tmpl w:val="3C9459F8"/>
    <w:lvl w:ilvl="0" w:tplc="11425C6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83202"/>
    <w:multiLevelType w:val="hybridMultilevel"/>
    <w:tmpl w:val="51968268"/>
    <w:lvl w:ilvl="0" w:tplc="11425C6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9D6271"/>
    <w:multiLevelType w:val="hybridMultilevel"/>
    <w:tmpl w:val="0BC288FC"/>
    <w:lvl w:ilvl="0" w:tplc="11425C6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25478E"/>
    <w:multiLevelType w:val="hybridMultilevel"/>
    <w:tmpl w:val="86420C0A"/>
    <w:lvl w:ilvl="0" w:tplc="11425C6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790C0B"/>
    <w:multiLevelType w:val="hybridMultilevel"/>
    <w:tmpl w:val="81B6B1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FB019B"/>
    <w:multiLevelType w:val="hybridMultilevel"/>
    <w:tmpl w:val="A60245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C54C59"/>
    <w:multiLevelType w:val="hybridMultilevel"/>
    <w:tmpl w:val="6B2CD1FE"/>
    <w:lvl w:ilvl="0" w:tplc="11425C6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D10F65"/>
    <w:multiLevelType w:val="hybridMultilevel"/>
    <w:tmpl w:val="852C7F28"/>
    <w:lvl w:ilvl="0" w:tplc="11425C6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9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3"/>
  </w:num>
  <w:num w:numId="10">
    <w:abstractNumId w:val="0"/>
  </w:num>
  <w:num w:numId="11">
    <w:abstractNumId w:val="6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BB6"/>
    <w:rsid w:val="000533E2"/>
    <w:rsid w:val="00073205"/>
    <w:rsid w:val="000A2151"/>
    <w:rsid w:val="000D773F"/>
    <w:rsid w:val="00122DF5"/>
    <w:rsid w:val="00130B7E"/>
    <w:rsid w:val="00132C2E"/>
    <w:rsid w:val="001335DA"/>
    <w:rsid w:val="001615BD"/>
    <w:rsid w:val="001B0D14"/>
    <w:rsid w:val="001D12BD"/>
    <w:rsid w:val="001F3008"/>
    <w:rsid w:val="001F66F0"/>
    <w:rsid w:val="00217C17"/>
    <w:rsid w:val="0025094A"/>
    <w:rsid w:val="00260FFB"/>
    <w:rsid w:val="002728B7"/>
    <w:rsid w:val="002913FC"/>
    <w:rsid w:val="002B3F3B"/>
    <w:rsid w:val="002E414B"/>
    <w:rsid w:val="002F086F"/>
    <w:rsid w:val="00370D2D"/>
    <w:rsid w:val="00381BDF"/>
    <w:rsid w:val="00384CE8"/>
    <w:rsid w:val="00450AAC"/>
    <w:rsid w:val="004B26C3"/>
    <w:rsid w:val="004B3892"/>
    <w:rsid w:val="004C0030"/>
    <w:rsid w:val="004C4A87"/>
    <w:rsid w:val="004D14E6"/>
    <w:rsid w:val="005F1F83"/>
    <w:rsid w:val="0064530F"/>
    <w:rsid w:val="006574CB"/>
    <w:rsid w:val="006703EB"/>
    <w:rsid w:val="00670FC2"/>
    <w:rsid w:val="007A068F"/>
    <w:rsid w:val="007E0C4C"/>
    <w:rsid w:val="007F16E0"/>
    <w:rsid w:val="008613CF"/>
    <w:rsid w:val="008B6C54"/>
    <w:rsid w:val="00952128"/>
    <w:rsid w:val="00960687"/>
    <w:rsid w:val="009A1B4A"/>
    <w:rsid w:val="009A6C43"/>
    <w:rsid w:val="009B4DE3"/>
    <w:rsid w:val="00A04240"/>
    <w:rsid w:val="00A04F07"/>
    <w:rsid w:val="00A50747"/>
    <w:rsid w:val="00A76D80"/>
    <w:rsid w:val="00A86AD0"/>
    <w:rsid w:val="00B77116"/>
    <w:rsid w:val="00C60CC4"/>
    <w:rsid w:val="00C87325"/>
    <w:rsid w:val="00C87411"/>
    <w:rsid w:val="00CB3AF9"/>
    <w:rsid w:val="00D34BB6"/>
    <w:rsid w:val="00D45DAB"/>
    <w:rsid w:val="00DB3135"/>
    <w:rsid w:val="00DE2BAD"/>
    <w:rsid w:val="00E021E2"/>
    <w:rsid w:val="00E04DBB"/>
    <w:rsid w:val="00E25C77"/>
    <w:rsid w:val="00E44F33"/>
    <w:rsid w:val="00E81770"/>
    <w:rsid w:val="00EB2E7E"/>
    <w:rsid w:val="00EC0777"/>
    <w:rsid w:val="00F02837"/>
    <w:rsid w:val="00F077CA"/>
    <w:rsid w:val="00F65E58"/>
    <w:rsid w:val="00F819EB"/>
    <w:rsid w:val="00FC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6EFECA-85F4-460A-A580-22C0E30DE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711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B0D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0D14"/>
  </w:style>
  <w:style w:type="paragraph" w:styleId="Pieddepage">
    <w:name w:val="footer"/>
    <w:basedOn w:val="Normal"/>
    <w:link w:val="PieddepageCar"/>
    <w:uiPriority w:val="99"/>
    <w:unhideWhenUsed/>
    <w:rsid w:val="001B0D1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0D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12</Pages>
  <Words>1937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Genco</Company>
  <LinksUpToDate>false</LinksUpToDate>
  <CharactersWithSpaces>12571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Rastafarian Forever</dc:creator>
  <cp:keywords/>
  <dc:description/>
  <cp:lastModifiedBy>Rastafarian Forever</cp:lastModifiedBy>
  <cp:revision>70</cp:revision>
  <dcterms:created xsi:type="dcterms:W3CDTF">2018-10-27T18:45:00Z</dcterms:created>
  <dcterms:modified xsi:type="dcterms:W3CDTF">2018-12-02T16:33:00Z</dcterms:modified>
</cp:coreProperties>
</file>