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B96" w:rsidRDefault="00853226" w:rsidP="00FB0B96">
      <w:pPr>
        <w:tabs>
          <w:tab w:val="left" w:pos="263"/>
        </w:tabs>
        <w:bidi/>
        <w:spacing w:after="0" w:line="240" w:lineRule="auto"/>
        <w:jc w:val="center"/>
        <w:rPr>
          <w:rFonts w:ascii="Traditional Arabic" w:eastAsia="Simplified Arabic" w:hAnsi="Traditional Arabic" w:cs="Traditional Arabic"/>
          <w:b/>
          <w:bCs/>
          <w:sz w:val="32"/>
          <w:szCs w:val="32"/>
          <w:rtl/>
        </w:rPr>
      </w:pPr>
      <w:bookmarkStart w:id="0" w:name="_GoBack"/>
      <w:bookmarkEnd w:id="0"/>
      <w:r>
        <w:rPr>
          <w:rFonts w:ascii="Traditional Arabic" w:eastAsia="Simplified Arabic" w:hAnsi="Traditional Arabic" w:cs="Traditional Arabic"/>
          <w:b/>
          <w:bCs/>
          <w:noProof/>
          <w:sz w:val="32"/>
          <w:szCs w:val="32"/>
          <w:rtl/>
          <w:lang w:eastAsia="fr-FR"/>
        </w:rPr>
        <mc:AlternateContent>
          <mc:Choice Requires="wps">
            <w:drawing>
              <wp:anchor distT="0" distB="0" distL="114300" distR="114300" simplePos="0" relativeHeight="251661312" behindDoc="0" locked="0" layoutInCell="1" allowOverlap="1">
                <wp:simplePos x="0" y="0"/>
                <wp:positionH relativeFrom="column">
                  <wp:posOffset>686435</wp:posOffset>
                </wp:positionH>
                <wp:positionV relativeFrom="paragraph">
                  <wp:posOffset>-381000</wp:posOffset>
                </wp:positionV>
                <wp:extent cx="5090160" cy="899795"/>
                <wp:effectExtent l="83820" t="83185" r="7620" b="762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0160" cy="899795"/>
                        </a:xfrm>
                        <a:prstGeom prst="horizontalScroll">
                          <a:avLst>
                            <a:gd name="adj" fmla="val 12500"/>
                          </a:avLst>
                        </a:prstGeom>
                        <a:solidFill>
                          <a:srgbClr val="FFFFFF"/>
                        </a:solidFill>
                        <a:ln w="9525">
                          <a:solidFill>
                            <a:srgbClr val="000000"/>
                          </a:solidFill>
                          <a:round/>
                          <a:headEnd/>
                          <a:tailEnd/>
                        </a:ln>
                        <a:effectLst>
                          <a:outerShdw dist="107763" dir="13500000" algn="ctr" rotWithShape="0">
                            <a:srgbClr val="808080">
                              <a:alpha val="50000"/>
                            </a:srgbClr>
                          </a:outerShdw>
                        </a:effectLst>
                      </wps:spPr>
                      <wps:txbx>
                        <w:txbxContent>
                          <w:p w:rsidR="00FB0B96" w:rsidRDefault="00FB0B96" w:rsidP="00FB0B96">
                            <w:pPr>
                              <w:bidi/>
                              <w:spacing w:after="0" w:line="240" w:lineRule="auto"/>
                              <w:jc w:val="center"/>
                              <w:rPr>
                                <w:rFonts w:asciiTheme="majorBidi" w:hAnsiTheme="majorBidi" w:cstheme="majorBidi"/>
                                <w:b/>
                                <w:bCs/>
                                <w:sz w:val="36"/>
                                <w:szCs w:val="36"/>
                                <w:rtl/>
                                <w:lang w:bidi="ar-DZ"/>
                              </w:rPr>
                            </w:pPr>
                            <w:r>
                              <w:rPr>
                                <w:rFonts w:asciiTheme="majorBidi" w:hAnsiTheme="majorBidi" w:cstheme="majorBidi" w:hint="cs"/>
                                <w:b/>
                                <w:bCs/>
                                <w:sz w:val="36"/>
                                <w:szCs w:val="36"/>
                                <w:rtl/>
                                <w:lang w:bidi="ar-DZ"/>
                              </w:rPr>
                              <w:t>المحور الثاني: نشأة وهياكل البورصة</w:t>
                            </w:r>
                          </w:p>
                          <w:p w:rsidR="00FB0B96" w:rsidRPr="004E1228" w:rsidRDefault="00FB0B96" w:rsidP="00FB0B96">
                            <w:pPr>
                              <w:bidi/>
                              <w:spacing w:after="0" w:line="240" w:lineRule="auto"/>
                              <w:jc w:val="center"/>
                              <w:rPr>
                                <w:rFonts w:asciiTheme="majorBidi" w:hAnsiTheme="majorBidi" w:cstheme="majorBidi"/>
                                <w:b/>
                                <w:bCs/>
                                <w:sz w:val="36"/>
                                <w:szCs w:val="36"/>
                                <w:rtl/>
                                <w:lang w:bidi="ar-DZ"/>
                              </w:rPr>
                            </w:pPr>
                            <w:r w:rsidRPr="004E1228">
                              <w:rPr>
                                <w:rFonts w:asciiTheme="majorBidi" w:hAnsiTheme="majorBidi" w:cstheme="majorBidi"/>
                                <w:b/>
                                <w:bCs/>
                                <w:sz w:val="36"/>
                                <w:szCs w:val="36"/>
                                <w:rtl/>
                                <w:lang w:bidi="ar-DZ"/>
                              </w:rPr>
                              <w:t>المحاضرة رقم 0</w:t>
                            </w:r>
                            <w:r>
                              <w:rPr>
                                <w:rFonts w:asciiTheme="majorBidi" w:hAnsiTheme="majorBidi" w:cstheme="majorBidi" w:hint="cs"/>
                                <w:b/>
                                <w:bCs/>
                                <w:sz w:val="36"/>
                                <w:szCs w:val="36"/>
                                <w:rtl/>
                                <w:lang w:bidi="ar-DZ"/>
                              </w:rPr>
                              <w:t>3</w:t>
                            </w:r>
                            <w:r w:rsidRPr="004E1228">
                              <w:rPr>
                                <w:rFonts w:asciiTheme="majorBidi" w:hAnsiTheme="majorBidi" w:cstheme="majorBidi"/>
                                <w:b/>
                                <w:bCs/>
                                <w:sz w:val="36"/>
                                <w:szCs w:val="36"/>
                                <w:rtl/>
                                <w:lang w:bidi="ar-DZ"/>
                              </w:rPr>
                              <w:t>:</w:t>
                            </w:r>
                            <w:r w:rsidRPr="004E1228">
                              <w:rPr>
                                <w:rFonts w:hint="cs"/>
                                <w:rtl/>
                              </w:rPr>
                              <w:t xml:space="preserve"> </w:t>
                            </w:r>
                            <w:r>
                              <w:rPr>
                                <w:rFonts w:ascii="Times New Roman" w:eastAsia="Simplified Arabic" w:hAnsi="Times New Roman" w:cs="Times New Roman" w:hint="cs"/>
                                <w:bCs/>
                                <w:sz w:val="32"/>
                                <w:szCs w:val="32"/>
                                <w:rtl/>
                              </w:rPr>
                              <w:t>وظائف لجنة</w:t>
                            </w:r>
                            <w:r w:rsidRPr="002700E9">
                              <w:rPr>
                                <w:rFonts w:ascii="Times New Roman" w:eastAsia="Simplified Arabic" w:hAnsi="Times New Roman" w:cs="Times New Roman"/>
                                <w:bCs/>
                                <w:sz w:val="32"/>
                                <w:szCs w:val="32"/>
                                <w:rtl/>
                              </w:rPr>
                              <w:t xml:space="preserve"> تنظيم ومراقبة عمليات البورصة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8" o:spid="_x0000_s1026" type="#_x0000_t98" style="position:absolute;left:0;text-align:left;margin-left:54.05pt;margin-top:-30pt;width:400.8pt;height:7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">
                <v:shadow on="t" opacity=".5" offset="-6pt,-6pt"/>
                <v:textbox>
                  <w:txbxContent>
                    <w:p w:rsidR="00FB0B96" w:rsidRDefault="00FB0B96" w:rsidP="00FB0B96">
                      <w:pPr>
                        <w:bidi/>
                        <w:spacing w:after="0" w:line="240" w:lineRule="auto"/>
                        <w:jc w:val="center"/>
                        <w:rPr>
                          <w:rFonts w:asciiTheme="majorBidi" w:hAnsiTheme="majorBidi" w:cstheme="majorBidi"/>
                          <w:b/>
                          <w:bCs/>
                          <w:sz w:val="36"/>
                          <w:szCs w:val="36"/>
                          <w:rtl/>
                          <w:lang w:bidi="ar-DZ"/>
                        </w:rPr>
                      </w:pPr>
                      <w:r>
                        <w:rPr>
                          <w:rFonts w:asciiTheme="majorBidi" w:hAnsiTheme="majorBidi" w:cstheme="majorBidi" w:hint="cs"/>
                          <w:b/>
                          <w:bCs/>
                          <w:sz w:val="36"/>
                          <w:szCs w:val="36"/>
                          <w:rtl/>
                          <w:lang w:bidi="ar-DZ"/>
                        </w:rPr>
                        <w:t>المحور الثاني: نشأة وهياكل البورصة</w:t>
                      </w:r>
                    </w:p>
                    <w:p w:rsidR="00FB0B96" w:rsidRPr="004E1228" w:rsidRDefault="00FB0B96" w:rsidP="00FB0B96">
                      <w:pPr>
                        <w:bidi/>
                        <w:spacing w:after="0" w:line="240" w:lineRule="auto"/>
                        <w:jc w:val="center"/>
                        <w:rPr>
                          <w:rFonts w:asciiTheme="majorBidi" w:hAnsiTheme="majorBidi" w:cstheme="majorBidi"/>
                          <w:b/>
                          <w:bCs/>
                          <w:sz w:val="36"/>
                          <w:szCs w:val="36"/>
                          <w:rtl/>
                          <w:lang w:bidi="ar-DZ"/>
                        </w:rPr>
                      </w:pPr>
                      <w:r w:rsidRPr="004E1228">
                        <w:rPr>
                          <w:rFonts w:asciiTheme="majorBidi" w:hAnsiTheme="majorBidi" w:cstheme="majorBidi"/>
                          <w:b/>
                          <w:bCs/>
                          <w:sz w:val="36"/>
                          <w:szCs w:val="36"/>
                          <w:rtl/>
                          <w:lang w:bidi="ar-DZ"/>
                        </w:rPr>
                        <w:t>المحاضرة رقم 0</w:t>
                      </w:r>
                      <w:r>
                        <w:rPr>
                          <w:rFonts w:asciiTheme="majorBidi" w:hAnsiTheme="majorBidi" w:cstheme="majorBidi" w:hint="cs"/>
                          <w:b/>
                          <w:bCs/>
                          <w:sz w:val="36"/>
                          <w:szCs w:val="36"/>
                          <w:rtl/>
                          <w:lang w:bidi="ar-DZ"/>
                        </w:rPr>
                        <w:t>3</w:t>
                      </w:r>
                      <w:r w:rsidRPr="004E1228">
                        <w:rPr>
                          <w:rFonts w:asciiTheme="majorBidi" w:hAnsiTheme="majorBidi" w:cstheme="majorBidi"/>
                          <w:b/>
                          <w:bCs/>
                          <w:sz w:val="36"/>
                          <w:szCs w:val="36"/>
                          <w:rtl/>
                          <w:lang w:bidi="ar-DZ"/>
                        </w:rPr>
                        <w:t>:</w:t>
                      </w:r>
                      <w:r w:rsidRPr="004E1228">
                        <w:rPr>
                          <w:rFonts w:hint="cs"/>
                          <w:rtl/>
                        </w:rPr>
                        <w:t xml:space="preserve"> </w:t>
                      </w:r>
                      <w:r>
                        <w:rPr>
                          <w:rFonts w:ascii="Times New Roman" w:eastAsia="Simplified Arabic" w:hAnsi="Times New Roman" w:cs="Times New Roman" w:hint="cs"/>
                          <w:bCs/>
                          <w:sz w:val="32"/>
                          <w:szCs w:val="32"/>
                          <w:rtl/>
                        </w:rPr>
                        <w:t>وظائف لجنة</w:t>
                      </w:r>
                      <w:r w:rsidRPr="002700E9">
                        <w:rPr>
                          <w:rFonts w:ascii="Times New Roman" w:eastAsia="Simplified Arabic" w:hAnsi="Times New Roman" w:cs="Times New Roman"/>
                          <w:bCs/>
                          <w:sz w:val="32"/>
                          <w:szCs w:val="32"/>
                          <w:rtl/>
                        </w:rPr>
                        <w:t xml:space="preserve"> تنظيم ومراقبة عمليات البورصة</w:t>
                      </w:r>
                    </w:p>
                  </w:txbxContent>
                </v:textbox>
              </v:shape>
            </w:pict>
          </mc:Fallback>
        </mc:AlternateContent>
      </w:r>
    </w:p>
    <w:p w:rsidR="00FB0B96" w:rsidRDefault="00FB0B96" w:rsidP="00FB0B96">
      <w:pPr>
        <w:tabs>
          <w:tab w:val="left" w:pos="263"/>
        </w:tabs>
        <w:bidi/>
        <w:spacing w:after="0" w:line="240" w:lineRule="auto"/>
        <w:jc w:val="both"/>
        <w:rPr>
          <w:rFonts w:ascii="Traditional Arabic" w:eastAsia="Simplified Arabic" w:hAnsi="Traditional Arabic" w:cs="Traditional Arabic"/>
          <w:b/>
          <w:bCs/>
          <w:sz w:val="32"/>
          <w:szCs w:val="32"/>
          <w:rtl/>
        </w:rPr>
      </w:pPr>
    </w:p>
    <w:p w:rsidR="00FB0B96" w:rsidRPr="00FB0B96" w:rsidRDefault="00FB0B96" w:rsidP="00FB0B96">
      <w:pPr>
        <w:tabs>
          <w:tab w:val="left" w:pos="263"/>
        </w:tabs>
        <w:bidi/>
        <w:spacing w:after="0" w:line="240" w:lineRule="auto"/>
        <w:jc w:val="both"/>
        <w:rPr>
          <w:rFonts w:ascii="Traditional Arabic" w:eastAsia="Simplified Arabic" w:hAnsi="Traditional Arabic" w:cs="Traditional Arabic"/>
          <w:b/>
          <w:bCs/>
          <w:sz w:val="32"/>
          <w:szCs w:val="32"/>
          <w:rtl/>
        </w:rPr>
      </w:pPr>
      <w:r w:rsidRPr="00FB0B96">
        <w:rPr>
          <w:rFonts w:ascii="Traditional Arabic" w:eastAsia="Simplified Arabic" w:hAnsi="Traditional Arabic" w:cs="Traditional Arabic"/>
          <w:sz w:val="32"/>
          <w:szCs w:val="32"/>
          <w:rtl/>
        </w:rPr>
        <w:t>مكن المشرع اللجنة من عدة وظائف حتى تتمكن من أداء الدور المنوط بها، وتتمثل هذه الوظائف فيما يلي</w:t>
      </w:r>
      <w:r w:rsidRPr="00FB0B96">
        <w:rPr>
          <w:rFonts w:ascii="Traditional Arabic" w:eastAsia="Simplified Arabic" w:hAnsi="Traditional Arabic" w:cs="Traditional Arabic"/>
          <w:sz w:val="32"/>
          <w:szCs w:val="32"/>
        </w:rPr>
        <w:t>:</w:t>
      </w:r>
    </w:p>
    <w:p w:rsidR="00FB0B96" w:rsidRPr="00FB0B96" w:rsidRDefault="00FB0B96" w:rsidP="00FB0B96">
      <w:pPr>
        <w:tabs>
          <w:tab w:val="left" w:pos="263"/>
        </w:tabs>
        <w:bidi/>
        <w:spacing w:after="0" w:line="240" w:lineRule="auto"/>
        <w:ind w:right="263"/>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b/>
          <w:bCs/>
          <w:sz w:val="32"/>
          <w:szCs w:val="32"/>
          <w:rtl/>
        </w:rPr>
        <w:t>أ- الوظيفة القانونية:</w:t>
      </w:r>
      <w:r w:rsidRPr="00FB0B96">
        <w:rPr>
          <w:rFonts w:ascii="Traditional Arabic" w:eastAsia="Simplified Arabic" w:hAnsi="Traditional Arabic" w:cs="Traditional Arabic"/>
          <w:sz w:val="32"/>
          <w:szCs w:val="32"/>
          <w:rtl/>
        </w:rPr>
        <w:t xml:space="preserve"> تعتبر هذه الوظيفة أهم الوظائف حيث تخص الجانب القانوني لتنظيم وسير بورصة القيم المنقولة. وعلى ضوء هذه الوظيفة، تقوم لجنة تنظيم ومراقبة عمليات بسن تقنينات تتعلق على وجه الخصوص بما يلي:</w:t>
      </w:r>
    </w:p>
    <w:p w:rsidR="00FB0B96" w:rsidRPr="00FB0B96" w:rsidRDefault="00FB0B96" w:rsidP="00FB0B96">
      <w:pPr>
        <w:tabs>
          <w:tab w:val="left" w:pos="263"/>
        </w:tabs>
        <w:bidi/>
        <w:spacing w:after="0" w:line="240" w:lineRule="auto"/>
        <w:ind w:right="263"/>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نوعية رؤوس الأموال التي يمكن استثمارها في عمليات البورصة</w:t>
      </w:r>
      <w:r w:rsidRPr="00FB0B96">
        <w:rPr>
          <w:rFonts w:ascii="Traditional Arabic" w:eastAsia="Simplified Arabic" w:hAnsi="Traditional Arabic" w:cs="Traditional Arabic"/>
          <w:sz w:val="32"/>
          <w:szCs w:val="32"/>
        </w:rPr>
        <w:t>.</w:t>
      </w:r>
    </w:p>
    <w:p w:rsidR="00FB0B96" w:rsidRPr="00FB0B96" w:rsidRDefault="00FB0B96" w:rsidP="00FB0B96">
      <w:pPr>
        <w:tabs>
          <w:tab w:val="left" w:pos="263"/>
        </w:tabs>
        <w:bidi/>
        <w:spacing w:after="0" w:line="240" w:lineRule="auto"/>
        <w:ind w:right="263"/>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اعتماد الوسطاء في عمليات البورصة والقواعد المهنية التي تطبق عليهم</w:t>
      </w:r>
      <w:r w:rsidRPr="00FB0B96">
        <w:rPr>
          <w:rFonts w:ascii="Traditional Arabic" w:eastAsia="Simplified Arabic" w:hAnsi="Traditional Arabic" w:cs="Traditional Arabic"/>
          <w:sz w:val="32"/>
          <w:szCs w:val="32"/>
        </w:rPr>
        <w:t>.</w:t>
      </w:r>
    </w:p>
    <w:p w:rsidR="00FB0B96" w:rsidRPr="00FB0B96" w:rsidRDefault="00FB0B96" w:rsidP="00FB0B96">
      <w:pPr>
        <w:tabs>
          <w:tab w:val="left" w:pos="263"/>
        </w:tabs>
        <w:bidi/>
        <w:spacing w:after="0" w:line="240" w:lineRule="auto"/>
        <w:ind w:right="263"/>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w:t>
      </w:r>
      <w:r w:rsidRPr="00FB0B96">
        <w:rPr>
          <w:rFonts w:ascii="Traditional Arabic" w:eastAsia="Simplified Arabic" w:hAnsi="Traditional Arabic" w:cs="Traditional Arabic"/>
          <w:sz w:val="32"/>
          <w:szCs w:val="32"/>
          <w:rtl/>
        </w:rPr>
        <w:tab/>
        <w:t>نطاق مسؤولية الوسطاء في عمليات البورصة ومحتواها والضمانات الواجب الوفاء بها اتجاه زبائنه.</w:t>
      </w:r>
    </w:p>
    <w:p w:rsidR="00FB0B96" w:rsidRPr="00FB0B96" w:rsidRDefault="00FB0B96" w:rsidP="00FB0B96">
      <w:pPr>
        <w:numPr>
          <w:ilvl w:val="0"/>
          <w:numId w:val="7"/>
        </w:numPr>
        <w:tabs>
          <w:tab w:val="left" w:pos="321"/>
        </w:tabs>
        <w:bidi/>
        <w:spacing w:after="0" w:line="240" w:lineRule="auto"/>
        <w:ind w:right="6" w:hanging="6"/>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 xml:space="preserve">الشروط والقواعد التي تحكم العلاقات بين المؤتمن المركزي على السندات والمستفيدون من الخدمات المقدمة من طرفه والمحددة بالمادة </w:t>
      </w:r>
      <w:r w:rsidRPr="00FB0B96">
        <w:rPr>
          <w:rFonts w:ascii="Traditional Arabic" w:eastAsia="Simplified Arabic" w:hAnsi="Traditional Arabic" w:cs="Traditional Arabic"/>
          <w:sz w:val="32"/>
          <w:szCs w:val="32"/>
        </w:rPr>
        <w:t>19</w:t>
      </w:r>
      <w:r w:rsidRPr="00FB0B96">
        <w:rPr>
          <w:rFonts w:ascii="Traditional Arabic" w:eastAsia="Simplified Arabic" w:hAnsi="Traditional Arabic" w:cs="Traditional Arabic"/>
          <w:sz w:val="32"/>
          <w:szCs w:val="32"/>
          <w:rtl/>
        </w:rPr>
        <w:t xml:space="preserve"> مكرر </w:t>
      </w:r>
      <w:r w:rsidRPr="00FB0B96">
        <w:rPr>
          <w:rFonts w:ascii="Traditional Arabic" w:eastAsia="Simplified Arabic" w:hAnsi="Traditional Arabic" w:cs="Traditional Arabic"/>
          <w:sz w:val="32"/>
          <w:szCs w:val="32"/>
        </w:rPr>
        <w:t>2</w:t>
      </w:r>
      <w:r w:rsidRPr="00FB0B96">
        <w:rPr>
          <w:rFonts w:ascii="Traditional Arabic" w:eastAsia="Simplified Arabic" w:hAnsi="Traditional Arabic" w:cs="Traditional Arabic"/>
          <w:sz w:val="32"/>
          <w:szCs w:val="32"/>
          <w:rtl/>
        </w:rPr>
        <w:t xml:space="preserve"> من القانون </w:t>
      </w:r>
      <w:r w:rsidRPr="00FB0B96">
        <w:rPr>
          <w:rFonts w:ascii="Traditional Arabic" w:eastAsia="Simplified Arabic" w:hAnsi="Traditional Arabic" w:cs="Traditional Arabic"/>
          <w:sz w:val="32"/>
          <w:szCs w:val="32"/>
        </w:rPr>
        <w:t>.04/03</w:t>
      </w:r>
    </w:p>
    <w:p w:rsidR="00FB0B96" w:rsidRPr="00FB0B96" w:rsidRDefault="00FB0B96" w:rsidP="00FB0B96">
      <w:pPr>
        <w:numPr>
          <w:ilvl w:val="0"/>
          <w:numId w:val="7"/>
        </w:numPr>
        <w:tabs>
          <w:tab w:val="left" w:pos="266"/>
        </w:tabs>
        <w:bidi/>
        <w:spacing w:after="0" w:line="240" w:lineRule="auto"/>
        <w:ind w:right="266" w:hanging="263"/>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القواعد المتعلقة بحفظ السندات وتسيير وإدارة الحسابات الجارية للسندات.</w:t>
      </w:r>
    </w:p>
    <w:p w:rsidR="00FB0B96" w:rsidRPr="00FB0B96" w:rsidRDefault="00FB0B96" w:rsidP="00FB0B96">
      <w:pPr>
        <w:numPr>
          <w:ilvl w:val="0"/>
          <w:numId w:val="7"/>
        </w:numPr>
        <w:tabs>
          <w:tab w:val="left" w:pos="266"/>
        </w:tabs>
        <w:bidi/>
        <w:spacing w:after="0" w:line="240" w:lineRule="auto"/>
        <w:ind w:right="266" w:hanging="263"/>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القواعد المتعلقة بتسيير نظام التسوية وتسليم السندات.</w:t>
      </w:r>
    </w:p>
    <w:p w:rsidR="00FB0B96" w:rsidRPr="00FB0B96" w:rsidRDefault="00FB0B96" w:rsidP="00FB0B96">
      <w:pPr>
        <w:numPr>
          <w:ilvl w:val="0"/>
          <w:numId w:val="7"/>
        </w:numPr>
        <w:tabs>
          <w:tab w:val="left" w:pos="266"/>
        </w:tabs>
        <w:bidi/>
        <w:spacing w:after="0" w:line="240" w:lineRule="auto"/>
        <w:ind w:right="266" w:hanging="263"/>
        <w:jc w:val="both"/>
        <w:rPr>
          <w:rFonts w:ascii="Traditional Arabic" w:eastAsia="Simplified Arabic" w:hAnsi="Traditional Arabic" w:cs="Traditional Arabic"/>
          <w:sz w:val="32"/>
          <w:szCs w:val="32"/>
        </w:rPr>
      </w:pPr>
      <w:r w:rsidRPr="00FB0B96">
        <w:rPr>
          <w:rFonts w:ascii="Traditional Arabic" w:eastAsia="Simplified Arabic" w:hAnsi="Traditional Arabic" w:cs="Traditional Arabic"/>
          <w:sz w:val="32"/>
          <w:szCs w:val="32"/>
          <w:rtl/>
        </w:rPr>
        <w:t>شروط التأهيل وممارسة نشاط حفظ وإدارة السندات.</w:t>
      </w:r>
    </w:p>
    <w:p w:rsidR="00FB0B96" w:rsidRPr="00FB0B96" w:rsidRDefault="00FB0B96" w:rsidP="00FB0B96">
      <w:pPr>
        <w:bidi/>
        <w:spacing w:after="0" w:line="240" w:lineRule="auto"/>
        <w:ind w:left="100" w:right="6"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تصدر اللجنة هذه التقنيات في شكل لوائح أو تنظيمات تتم الموافقة عليها بموجب قرار يصدر من وزير المالية ثم تنشر في الجريدة الرسمية للجمهورية الجزائرية الديمقراطية الشعبية.</w:t>
      </w:r>
    </w:p>
    <w:p w:rsidR="00FB0B96" w:rsidRPr="00FB0B96" w:rsidRDefault="00FB0B96" w:rsidP="00FB0B96">
      <w:pPr>
        <w:bidi/>
        <w:spacing w:after="0" w:line="240" w:lineRule="auto"/>
        <w:ind w:right="726"/>
        <w:jc w:val="both"/>
        <w:rPr>
          <w:rFonts w:ascii="Traditional Arabic" w:eastAsia="Simplified Arabic" w:hAnsi="Traditional Arabic" w:cs="Traditional Arabic"/>
          <w:sz w:val="32"/>
          <w:szCs w:val="32"/>
        </w:rPr>
      </w:pPr>
      <w:r w:rsidRPr="00FB0B96">
        <w:rPr>
          <w:rFonts w:ascii="Traditional Arabic" w:eastAsia="Simplified Arabic" w:hAnsi="Traditional Arabic" w:cs="Traditional Arabic"/>
          <w:sz w:val="32"/>
          <w:szCs w:val="32"/>
          <w:rtl/>
        </w:rPr>
        <w:t>وفي إطار نشاطها هذا عملت اللجنة على إعداد الأنظمة التالية:</w:t>
      </w:r>
    </w:p>
    <w:p w:rsidR="00FB0B96" w:rsidRPr="00FB0B96" w:rsidRDefault="00FB0B96" w:rsidP="00FB0B96">
      <w:pPr>
        <w:numPr>
          <w:ilvl w:val="0"/>
          <w:numId w:val="8"/>
        </w:numPr>
        <w:tabs>
          <w:tab w:val="left" w:pos="287"/>
        </w:tabs>
        <w:bidi/>
        <w:spacing w:after="0" w:line="240" w:lineRule="auto"/>
        <w:ind w:left="120" w:right="6" w:hanging="3"/>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 xml:space="preserve">النظام رقم </w:t>
      </w:r>
      <w:r w:rsidRPr="00FB0B96">
        <w:rPr>
          <w:rFonts w:ascii="Traditional Arabic" w:eastAsia="Simplified Arabic" w:hAnsi="Traditional Arabic" w:cs="Traditional Arabic"/>
          <w:sz w:val="32"/>
          <w:szCs w:val="32"/>
        </w:rPr>
        <w:t>01/97</w:t>
      </w:r>
      <w:r w:rsidRPr="00FB0B96">
        <w:rPr>
          <w:rFonts w:ascii="Traditional Arabic" w:eastAsia="Simplified Arabic" w:hAnsi="Traditional Arabic" w:cs="Traditional Arabic"/>
          <w:sz w:val="32"/>
          <w:szCs w:val="32"/>
          <w:rtl/>
        </w:rPr>
        <w:t xml:space="preserve"> المرتبط بمساهمة الوسطاء في عمليات البورصة في رأس مال شركة إدارة بورصة القيم المتداولة.</w:t>
      </w:r>
    </w:p>
    <w:p w:rsidR="00FB0B96" w:rsidRPr="00FB0B96" w:rsidRDefault="00FB0B96" w:rsidP="00FB0B96">
      <w:pPr>
        <w:numPr>
          <w:ilvl w:val="0"/>
          <w:numId w:val="8"/>
        </w:numPr>
        <w:tabs>
          <w:tab w:val="left" w:pos="266"/>
        </w:tabs>
        <w:bidi/>
        <w:spacing w:after="0" w:line="240" w:lineRule="auto"/>
        <w:ind w:right="266" w:hanging="263"/>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 xml:space="preserve">النظام رقم </w:t>
      </w:r>
      <w:r w:rsidRPr="00FB0B96">
        <w:rPr>
          <w:rFonts w:ascii="Traditional Arabic" w:eastAsia="Simplified Arabic" w:hAnsi="Traditional Arabic" w:cs="Traditional Arabic"/>
          <w:sz w:val="32"/>
          <w:szCs w:val="32"/>
        </w:rPr>
        <w:t>03/97</w:t>
      </w:r>
      <w:r w:rsidRPr="00FB0B96">
        <w:rPr>
          <w:rFonts w:ascii="Traditional Arabic" w:eastAsia="Simplified Arabic" w:hAnsi="Traditional Arabic" w:cs="Traditional Arabic"/>
          <w:sz w:val="32"/>
          <w:szCs w:val="32"/>
          <w:rtl/>
        </w:rPr>
        <w:t xml:space="preserve"> المتعلق بسير بورصة الأوراق المالية.</w:t>
      </w:r>
    </w:p>
    <w:p w:rsidR="00FB0B96" w:rsidRPr="00FB0B96" w:rsidRDefault="00FB0B96" w:rsidP="00FB0B96">
      <w:pPr>
        <w:numPr>
          <w:ilvl w:val="0"/>
          <w:numId w:val="8"/>
        </w:numPr>
        <w:tabs>
          <w:tab w:val="left" w:pos="266"/>
        </w:tabs>
        <w:bidi/>
        <w:spacing w:after="0" w:line="240" w:lineRule="auto"/>
        <w:ind w:right="266" w:hanging="263"/>
        <w:jc w:val="both"/>
        <w:rPr>
          <w:rFonts w:ascii="Traditional Arabic" w:eastAsia="Simplified Arabic" w:hAnsi="Traditional Arabic" w:cs="Traditional Arabic"/>
          <w:sz w:val="32"/>
          <w:szCs w:val="32"/>
        </w:rPr>
      </w:pPr>
      <w:r w:rsidRPr="00FB0B96">
        <w:rPr>
          <w:rFonts w:ascii="Traditional Arabic" w:eastAsia="Simplified Arabic" w:hAnsi="Traditional Arabic" w:cs="Traditional Arabic"/>
          <w:sz w:val="32"/>
          <w:szCs w:val="32"/>
          <w:rtl/>
        </w:rPr>
        <w:t xml:space="preserve">النظام رقم </w:t>
      </w:r>
      <w:r w:rsidRPr="00FB0B96">
        <w:rPr>
          <w:rFonts w:ascii="Traditional Arabic" w:eastAsia="Simplified Arabic" w:hAnsi="Traditional Arabic" w:cs="Traditional Arabic"/>
          <w:sz w:val="32"/>
          <w:szCs w:val="32"/>
        </w:rPr>
        <w:t>04/97</w:t>
      </w:r>
      <w:r w:rsidRPr="00FB0B96">
        <w:rPr>
          <w:rFonts w:ascii="Traditional Arabic" w:eastAsia="Simplified Arabic" w:hAnsi="Traditional Arabic" w:cs="Traditional Arabic"/>
          <w:sz w:val="32"/>
          <w:szCs w:val="32"/>
          <w:rtl/>
        </w:rPr>
        <w:t xml:space="preserve"> الخاص بهيئات التوظيف الجماعي في القيم المنقولة.</w:t>
      </w:r>
    </w:p>
    <w:p w:rsidR="00FB0B96" w:rsidRPr="00FB0B96" w:rsidRDefault="00FB0B96" w:rsidP="00FB0B96">
      <w:pPr>
        <w:numPr>
          <w:ilvl w:val="0"/>
          <w:numId w:val="8"/>
        </w:numPr>
        <w:tabs>
          <w:tab w:val="left" w:pos="266"/>
        </w:tabs>
        <w:bidi/>
        <w:spacing w:after="0" w:line="240" w:lineRule="auto"/>
        <w:ind w:right="266" w:hanging="263"/>
        <w:jc w:val="both"/>
        <w:rPr>
          <w:rFonts w:ascii="Traditional Arabic" w:eastAsia="Simplified Arabic" w:hAnsi="Traditional Arabic" w:cs="Traditional Arabic"/>
          <w:sz w:val="32"/>
          <w:szCs w:val="32"/>
        </w:rPr>
      </w:pPr>
      <w:r w:rsidRPr="00FB0B96">
        <w:rPr>
          <w:rFonts w:ascii="Traditional Arabic" w:eastAsia="Simplified Arabic" w:hAnsi="Traditional Arabic" w:cs="Traditional Arabic"/>
          <w:sz w:val="32"/>
          <w:szCs w:val="32"/>
          <w:rtl/>
        </w:rPr>
        <w:t xml:space="preserve">النظام رقم </w:t>
      </w:r>
      <w:r w:rsidRPr="00FB0B96">
        <w:rPr>
          <w:rFonts w:ascii="Traditional Arabic" w:eastAsia="Simplified Arabic" w:hAnsi="Traditional Arabic" w:cs="Traditional Arabic"/>
          <w:sz w:val="32"/>
          <w:szCs w:val="32"/>
        </w:rPr>
        <w:t>05/97</w:t>
      </w:r>
      <w:r w:rsidRPr="00FB0B96">
        <w:rPr>
          <w:rFonts w:ascii="Traditional Arabic" w:eastAsia="Simplified Arabic" w:hAnsi="Traditional Arabic" w:cs="Traditional Arabic"/>
          <w:sz w:val="32"/>
          <w:szCs w:val="32"/>
          <w:rtl/>
        </w:rPr>
        <w:t xml:space="preserve"> المرتبط باتفاقيات الحساب بين الوسطاء في العمليات البورصية وعملائهم. كما أعدت في نفس هذا الإطار التعليمة رقم </w:t>
      </w:r>
      <w:r w:rsidRPr="00FB0B96">
        <w:rPr>
          <w:rFonts w:ascii="Traditional Arabic" w:eastAsia="Simplified Arabic" w:hAnsi="Traditional Arabic" w:cs="Traditional Arabic"/>
          <w:sz w:val="32"/>
          <w:szCs w:val="32"/>
        </w:rPr>
        <w:t>97/01</w:t>
      </w:r>
      <w:r w:rsidRPr="00FB0B96">
        <w:rPr>
          <w:rFonts w:ascii="Traditional Arabic" w:eastAsia="Simplified Arabic" w:hAnsi="Traditional Arabic" w:cs="Traditional Arabic"/>
          <w:sz w:val="32"/>
          <w:szCs w:val="32"/>
          <w:rtl/>
        </w:rPr>
        <w:t xml:space="preserve"> المؤرخة </w:t>
      </w:r>
      <w:r w:rsidRPr="00FB0B96">
        <w:rPr>
          <w:rFonts w:ascii="Traditional Arabic" w:eastAsia="Simplified Arabic" w:hAnsi="Traditional Arabic" w:cs="Traditional Arabic"/>
          <w:sz w:val="32"/>
          <w:szCs w:val="32"/>
        </w:rPr>
        <w:t>1997/11/31</w:t>
      </w:r>
      <w:r w:rsidRPr="00FB0B96">
        <w:rPr>
          <w:rFonts w:ascii="Traditional Arabic" w:eastAsia="Simplified Arabic" w:hAnsi="Traditional Arabic" w:cs="Traditional Arabic"/>
          <w:sz w:val="32"/>
          <w:szCs w:val="32"/>
          <w:rtl/>
        </w:rPr>
        <w:t xml:space="preserve"> المحددة لكيفيات اعتماد الوسطاء في العمليات البورصية.</w:t>
      </w:r>
    </w:p>
    <w:p w:rsidR="00FB0B96" w:rsidRPr="00FB0B96" w:rsidRDefault="00FB0B96" w:rsidP="00FB0B96">
      <w:pPr>
        <w:bidi/>
        <w:spacing w:after="0" w:line="240" w:lineRule="auto"/>
        <w:ind w:left="120" w:right="6" w:firstLine="719"/>
        <w:jc w:val="both"/>
        <w:rPr>
          <w:rFonts w:ascii="Traditional Arabic" w:eastAsia="Simplified Arabic" w:hAnsi="Traditional Arabic" w:cs="Traditional Arabic"/>
          <w:sz w:val="32"/>
          <w:szCs w:val="32"/>
        </w:rPr>
      </w:pPr>
      <w:r w:rsidRPr="00FB0B96">
        <w:rPr>
          <w:rFonts w:ascii="Traditional Arabic" w:eastAsia="Simplified Arabic" w:hAnsi="Traditional Arabic" w:cs="Traditional Arabic"/>
          <w:sz w:val="32"/>
          <w:szCs w:val="32"/>
          <w:rtl/>
        </w:rPr>
        <w:t>كما يمكن للجنة وفي اطار وظيفتها القانونية أن تقدم للحكومة مقترحات نصوص تشريعية وتنظيمية تخص:</w:t>
      </w:r>
    </w:p>
    <w:p w:rsidR="00FB0B96" w:rsidRPr="00FB0B96" w:rsidRDefault="00FB0B96" w:rsidP="00FB0B96">
      <w:pPr>
        <w:numPr>
          <w:ilvl w:val="0"/>
          <w:numId w:val="9"/>
        </w:numPr>
        <w:tabs>
          <w:tab w:val="left" w:pos="266"/>
        </w:tabs>
        <w:bidi/>
        <w:spacing w:after="0" w:line="240" w:lineRule="auto"/>
        <w:ind w:right="266" w:hanging="263"/>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إعلام حاملي القيم المنقولة والجمهور.</w:t>
      </w:r>
    </w:p>
    <w:p w:rsidR="00FB0B96" w:rsidRPr="00FB0B96" w:rsidRDefault="00FB0B96" w:rsidP="00FB0B96">
      <w:pPr>
        <w:numPr>
          <w:ilvl w:val="0"/>
          <w:numId w:val="9"/>
        </w:numPr>
        <w:tabs>
          <w:tab w:val="left" w:pos="266"/>
        </w:tabs>
        <w:bidi/>
        <w:spacing w:after="0" w:line="240" w:lineRule="auto"/>
        <w:ind w:right="266" w:hanging="263"/>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تنظيم بورصة القيم المنقولة وسيرها.</w:t>
      </w:r>
    </w:p>
    <w:p w:rsidR="00FB0B96" w:rsidRPr="00FB0B96" w:rsidRDefault="00FB0B96" w:rsidP="00FB0B96">
      <w:pPr>
        <w:numPr>
          <w:ilvl w:val="0"/>
          <w:numId w:val="9"/>
        </w:numPr>
        <w:tabs>
          <w:tab w:val="left" w:pos="266"/>
        </w:tabs>
        <w:bidi/>
        <w:spacing w:after="0" w:line="240" w:lineRule="auto"/>
        <w:ind w:right="266" w:hanging="263"/>
        <w:jc w:val="both"/>
        <w:rPr>
          <w:rFonts w:ascii="Traditional Arabic" w:eastAsia="Simplified Arabic" w:hAnsi="Traditional Arabic" w:cs="Traditional Arabic"/>
          <w:sz w:val="32"/>
          <w:szCs w:val="32"/>
        </w:rPr>
      </w:pPr>
      <w:r w:rsidRPr="00FB0B96">
        <w:rPr>
          <w:rFonts w:ascii="Traditional Arabic" w:eastAsia="Simplified Arabic" w:hAnsi="Traditional Arabic" w:cs="Traditional Arabic"/>
          <w:sz w:val="32"/>
          <w:szCs w:val="32"/>
          <w:rtl/>
        </w:rPr>
        <w:t>الوضعية القانونية للوسطاء في عمليات البورصة.</w:t>
      </w:r>
    </w:p>
    <w:p w:rsidR="00FB0B96" w:rsidRPr="00FB0B96" w:rsidRDefault="00FB0B96" w:rsidP="00FB0B96">
      <w:pPr>
        <w:bidi/>
        <w:spacing w:after="0" w:line="240" w:lineRule="auto"/>
        <w:ind w:right="6" w:hanging="2"/>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bCs/>
          <w:sz w:val="32"/>
          <w:szCs w:val="32"/>
          <w:rtl/>
        </w:rPr>
        <w:t>ب- وظيفة المراقبة والرقابة:</w:t>
      </w:r>
      <w:r w:rsidRPr="00FB0B96">
        <w:rPr>
          <w:rFonts w:ascii="Traditional Arabic" w:eastAsia="Simplified Arabic" w:hAnsi="Traditional Arabic" w:cs="Traditional Arabic"/>
          <w:b/>
          <w:sz w:val="32"/>
          <w:szCs w:val="32"/>
          <w:rtl/>
        </w:rPr>
        <w:t xml:space="preserve"> </w:t>
      </w:r>
      <w:r w:rsidRPr="00FB0B96">
        <w:rPr>
          <w:rFonts w:ascii="Traditional Arabic" w:eastAsia="Simplified Arabic" w:hAnsi="Traditional Arabic" w:cs="Traditional Arabic"/>
          <w:sz w:val="32"/>
          <w:szCs w:val="32"/>
          <w:rtl/>
        </w:rPr>
        <w:t>نصت على هذه الوظيفة المواد من</w:t>
      </w:r>
      <w:r w:rsidRPr="00FB0B96">
        <w:rPr>
          <w:rFonts w:ascii="Traditional Arabic" w:eastAsia="Simplified Arabic" w:hAnsi="Traditional Arabic" w:cs="Traditional Arabic"/>
          <w:b/>
          <w:sz w:val="32"/>
          <w:szCs w:val="32"/>
          <w:rtl/>
        </w:rPr>
        <w:t xml:space="preserve"> </w:t>
      </w:r>
      <w:r w:rsidRPr="00FB0B96">
        <w:rPr>
          <w:rFonts w:ascii="Traditional Arabic" w:eastAsia="Simplified Arabic" w:hAnsi="Traditional Arabic" w:cs="Traditional Arabic"/>
          <w:sz w:val="32"/>
          <w:szCs w:val="32"/>
        </w:rPr>
        <w:t>35</w:t>
      </w:r>
      <w:r w:rsidRPr="00FB0B96">
        <w:rPr>
          <w:rFonts w:ascii="Traditional Arabic" w:eastAsia="Simplified Arabic" w:hAnsi="Traditional Arabic" w:cs="Traditional Arabic"/>
          <w:b/>
          <w:sz w:val="32"/>
          <w:szCs w:val="32"/>
          <w:rtl/>
        </w:rPr>
        <w:t xml:space="preserve"> </w:t>
      </w:r>
      <w:r w:rsidRPr="00FB0B96">
        <w:rPr>
          <w:rFonts w:ascii="Traditional Arabic" w:eastAsia="Simplified Arabic" w:hAnsi="Traditional Arabic" w:cs="Traditional Arabic"/>
          <w:sz w:val="32"/>
          <w:szCs w:val="32"/>
          <w:rtl/>
        </w:rPr>
        <w:t>الى</w:t>
      </w:r>
      <w:r w:rsidRPr="00FB0B96">
        <w:rPr>
          <w:rFonts w:ascii="Traditional Arabic" w:eastAsia="Simplified Arabic" w:hAnsi="Traditional Arabic" w:cs="Traditional Arabic"/>
          <w:b/>
          <w:sz w:val="32"/>
          <w:szCs w:val="32"/>
          <w:rtl/>
        </w:rPr>
        <w:t xml:space="preserve"> </w:t>
      </w:r>
      <w:r w:rsidRPr="00FB0B96">
        <w:rPr>
          <w:rFonts w:ascii="Traditional Arabic" w:eastAsia="Simplified Arabic" w:hAnsi="Traditional Arabic" w:cs="Traditional Arabic"/>
          <w:sz w:val="32"/>
          <w:szCs w:val="32"/>
        </w:rPr>
        <w:t>50</w:t>
      </w:r>
      <w:r w:rsidRPr="00FB0B96">
        <w:rPr>
          <w:rFonts w:ascii="Traditional Arabic" w:eastAsia="Simplified Arabic" w:hAnsi="Traditional Arabic" w:cs="Traditional Arabic"/>
          <w:b/>
          <w:sz w:val="32"/>
          <w:szCs w:val="32"/>
          <w:rtl/>
        </w:rPr>
        <w:t xml:space="preserve"> </w:t>
      </w:r>
      <w:r w:rsidRPr="00FB0B96">
        <w:rPr>
          <w:rFonts w:ascii="Traditional Arabic" w:eastAsia="Simplified Arabic" w:hAnsi="Traditional Arabic" w:cs="Traditional Arabic"/>
          <w:sz w:val="32"/>
          <w:szCs w:val="32"/>
          <w:rtl/>
        </w:rPr>
        <w:t>من المرسوم</w:t>
      </w:r>
      <w:r w:rsidRPr="00FB0B96">
        <w:rPr>
          <w:rFonts w:ascii="Traditional Arabic" w:eastAsia="Simplified Arabic" w:hAnsi="Traditional Arabic" w:cs="Traditional Arabic"/>
          <w:b/>
          <w:sz w:val="32"/>
          <w:szCs w:val="32"/>
          <w:rtl/>
        </w:rPr>
        <w:t xml:space="preserve"> </w:t>
      </w:r>
      <w:r w:rsidRPr="00FB0B96">
        <w:rPr>
          <w:rFonts w:ascii="Traditional Arabic" w:eastAsia="Simplified Arabic" w:hAnsi="Traditional Arabic" w:cs="Traditional Arabic"/>
          <w:sz w:val="32"/>
          <w:szCs w:val="32"/>
          <w:rtl/>
        </w:rPr>
        <w:t xml:space="preserve">التشريعي </w:t>
      </w:r>
      <w:r w:rsidRPr="00FB0B96">
        <w:rPr>
          <w:rFonts w:ascii="Traditional Arabic" w:eastAsia="Simplified Arabic" w:hAnsi="Traditional Arabic" w:cs="Traditional Arabic"/>
          <w:sz w:val="32"/>
          <w:szCs w:val="32"/>
        </w:rPr>
        <w:t>10-93</w:t>
      </w:r>
      <w:r w:rsidRPr="00FB0B96">
        <w:rPr>
          <w:rFonts w:ascii="Traditional Arabic" w:eastAsia="Simplified Arabic" w:hAnsi="Traditional Arabic" w:cs="Traditional Arabic"/>
          <w:sz w:val="32"/>
          <w:szCs w:val="32"/>
          <w:rtl/>
        </w:rPr>
        <w:t xml:space="preserve"> والمواد </w:t>
      </w:r>
      <w:r w:rsidRPr="00FB0B96">
        <w:rPr>
          <w:rFonts w:ascii="Traditional Arabic" w:eastAsia="Simplified Arabic" w:hAnsi="Traditional Arabic" w:cs="Traditional Arabic"/>
          <w:sz w:val="32"/>
          <w:szCs w:val="32"/>
        </w:rPr>
        <w:t>16</w:t>
      </w:r>
      <w:r w:rsidRPr="00FB0B96">
        <w:rPr>
          <w:rFonts w:ascii="Traditional Arabic" w:eastAsia="Simplified Arabic" w:hAnsi="Traditional Arabic" w:cs="Traditional Arabic"/>
          <w:sz w:val="32"/>
          <w:szCs w:val="32"/>
          <w:rtl/>
        </w:rPr>
        <w:t xml:space="preserve"> و</w:t>
      </w:r>
      <w:r w:rsidRPr="00FB0B96">
        <w:rPr>
          <w:rFonts w:ascii="Traditional Arabic" w:eastAsia="Simplified Arabic" w:hAnsi="Traditional Arabic" w:cs="Traditional Arabic"/>
          <w:sz w:val="32"/>
          <w:szCs w:val="32"/>
        </w:rPr>
        <w:t>17</w:t>
      </w:r>
      <w:r w:rsidRPr="00FB0B96">
        <w:rPr>
          <w:rFonts w:ascii="Traditional Arabic" w:eastAsia="Simplified Arabic" w:hAnsi="Traditional Arabic" w:cs="Traditional Arabic"/>
          <w:sz w:val="32"/>
          <w:szCs w:val="32"/>
          <w:rtl/>
        </w:rPr>
        <w:t xml:space="preserve"> من القانون </w:t>
      </w:r>
      <w:r w:rsidRPr="00FB0B96">
        <w:rPr>
          <w:rFonts w:ascii="Traditional Arabic" w:eastAsia="Simplified Arabic" w:hAnsi="Traditional Arabic" w:cs="Traditional Arabic"/>
          <w:sz w:val="32"/>
          <w:szCs w:val="32"/>
        </w:rPr>
        <w:t>04-03</w:t>
      </w:r>
      <w:r w:rsidRPr="00FB0B96">
        <w:rPr>
          <w:rFonts w:ascii="Traditional Arabic" w:eastAsia="Simplified Arabic" w:hAnsi="Traditional Arabic" w:cs="Traditional Arabic"/>
          <w:sz w:val="32"/>
          <w:szCs w:val="32"/>
          <w:rtl/>
        </w:rPr>
        <w:t xml:space="preserve"> المعدلتين للمادة </w:t>
      </w:r>
      <w:r w:rsidRPr="00FB0B96">
        <w:rPr>
          <w:rFonts w:ascii="Traditional Arabic" w:eastAsia="Simplified Arabic" w:hAnsi="Traditional Arabic" w:cs="Traditional Arabic"/>
          <w:sz w:val="32"/>
          <w:szCs w:val="32"/>
        </w:rPr>
        <w:t>41</w:t>
      </w:r>
      <w:r w:rsidRPr="00FB0B96">
        <w:rPr>
          <w:rFonts w:ascii="Traditional Arabic" w:eastAsia="Simplified Arabic" w:hAnsi="Traditional Arabic" w:cs="Traditional Arabic"/>
          <w:sz w:val="32"/>
          <w:szCs w:val="32"/>
          <w:rtl/>
        </w:rPr>
        <w:t xml:space="preserve"> و</w:t>
      </w:r>
      <w:r w:rsidRPr="00FB0B96">
        <w:rPr>
          <w:rFonts w:ascii="Traditional Arabic" w:eastAsia="Simplified Arabic" w:hAnsi="Traditional Arabic" w:cs="Traditional Arabic"/>
          <w:sz w:val="32"/>
          <w:szCs w:val="32"/>
        </w:rPr>
        <w:t>43</w:t>
      </w:r>
      <w:r w:rsidRPr="00FB0B96">
        <w:rPr>
          <w:rFonts w:ascii="Traditional Arabic" w:eastAsia="Simplified Arabic" w:hAnsi="Traditional Arabic" w:cs="Traditional Arabic"/>
          <w:sz w:val="32"/>
          <w:szCs w:val="32"/>
          <w:rtl/>
        </w:rPr>
        <w:t xml:space="preserve"> من المرسوم التشريعي </w:t>
      </w:r>
      <w:r w:rsidRPr="00FB0B96">
        <w:rPr>
          <w:rFonts w:ascii="Traditional Arabic" w:eastAsia="Simplified Arabic" w:hAnsi="Traditional Arabic" w:cs="Traditional Arabic"/>
          <w:sz w:val="32"/>
          <w:szCs w:val="32"/>
        </w:rPr>
        <w:t>10-93</w:t>
      </w:r>
      <w:r w:rsidRPr="00FB0B96">
        <w:rPr>
          <w:rFonts w:ascii="Traditional Arabic" w:eastAsia="Simplified Arabic" w:hAnsi="Traditional Arabic" w:cs="Traditional Arabic"/>
          <w:sz w:val="32"/>
          <w:szCs w:val="32"/>
          <w:rtl/>
        </w:rPr>
        <w:t>، هذه السلطة تسمح للجنة من القيام بأعمال الرقابة التالية:</w:t>
      </w:r>
    </w:p>
    <w:p w:rsidR="00FB0B96" w:rsidRPr="00FB0B96" w:rsidRDefault="00FB0B96" w:rsidP="00FB0B96">
      <w:pPr>
        <w:bidi/>
        <w:spacing w:after="0" w:line="240" w:lineRule="auto"/>
        <w:jc w:val="both"/>
        <w:rPr>
          <w:rFonts w:ascii="Traditional Arabic" w:eastAsia="Simplified Arabic" w:hAnsi="Traditional Arabic" w:cs="Traditional Arabic"/>
          <w:sz w:val="32"/>
          <w:szCs w:val="32"/>
          <w:rtl/>
        </w:rPr>
      </w:pPr>
      <w:r w:rsidRPr="00FB0B96">
        <w:rPr>
          <w:rFonts w:ascii="Traditional Arabic" w:eastAsia="Times New Roman" w:hAnsi="Traditional Arabic" w:cs="Traditional Arabic"/>
          <w:sz w:val="32"/>
          <w:szCs w:val="32"/>
          <w:rtl/>
        </w:rPr>
        <w:t xml:space="preserve">   -   </w:t>
      </w:r>
      <w:r w:rsidRPr="00FB0B96">
        <w:rPr>
          <w:rFonts w:ascii="Traditional Arabic" w:eastAsia="Simplified Arabic" w:hAnsi="Traditional Arabic" w:cs="Traditional Arabic"/>
          <w:sz w:val="32"/>
          <w:szCs w:val="32"/>
          <w:rtl/>
        </w:rPr>
        <w:t>يلتزم أعضاء لجنة تنظيم ومراقبة عمليات البورصة وأعوانها بالسهر على تناسق قواعد سوق القيم المتداولة مع مختلف النصوص القانونية والتشريعية التي تحكم السوق وذلك بالإطلاع على جميع الأعمال التنظيمية قصد مراقبتها، وكذا ضمان تنفيذها طبقا للأحكام التشريعية.</w:t>
      </w:r>
    </w:p>
    <w:p w:rsidR="00FB0B96" w:rsidRPr="00FB0B96" w:rsidRDefault="00FB0B96" w:rsidP="00FB0B96">
      <w:pPr>
        <w:bidi/>
        <w:spacing w:after="0" w:line="240" w:lineRule="auto"/>
        <w:ind w:firstLine="3"/>
        <w:jc w:val="both"/>
        <w:rPr>
          <w:rFonts w:ascii="Traditional Arabic" w:eastAsia="Simplified Arabic" w:hAnsi="Traditional Arabic" w:cs="Traditional Arabic"/>
          <w:sz w:val="32"/>
          <w:szCs w:val="32"/>
          <w:vertAlign w:val="superscript"/>
          <w:rtl/>
          <w:lang w:bidi="ar-DZ"/>
        </w:rPr>
      </w:pPr>
      <w:r w:rsidRPr="00FB0B96">
        <w:rPr>
          <w:rFonts w:ascii="Traditional Arabic" w:eastAsia="Simplified Arabic" w:hAnsi="Traditional Arabic" w:cs="Traditional Arabic"/>
          <w:sz w:val="32"/>
          <w:szCs w:val="32"/>
          <w:rtl/>
        </w:rPr>
        <w:lastRenderedPageBreak/>
        <w:t>- التأكد من أن الشركات المقبول تداول قيمها المنقولة في بورصة الجزائر تتقيد بالأحكام التشريعية والتنظيمية السارية عليها لاسيما في مجال القيم المنقولة، وعقد الجمعيات العامة، وتشكيلة أجهزة الإدارة والرقابة على عمليات النشر القانونية.</w:t>
      </w:r>
    </w:p>
    <w:p w:rsidR="00FB0B96" w:rsidRPr="00FB0B96" w:rsidRDefault="00FB0B96" w:rsidP="00FB0B96">
      <w:pPr>
        <w:bidi/>
        <w:spacing w:after="0" w:line="240" w:lineRule="auto"/>
        <w:ind w:firstLine="731"/>
        <w:jc w:val="both"/>
        <w:rPr>
          <w:rFonts w:ascii="Traditional Arabic" w:eastAsia="Simplified Arabic" w:hAnsi="Traditional Arabic" w:cs="Traditional Arabic"/>
          <w:sz w:val="32"/>
          <w:szCs w:val="32"/>
          <w:vertAlign w:val="superscript"/>
          <w:rtl/>
          <w:lang w:bidi="ar-DZ"/>
        </w:rPr>
      </w:pPr>
      <w:r w:rsidRPr="00FB0B96">
        <w:rPr>
          <w:rFonts w:ascii="Traditional Arabic" w:eastAsia="Simplified Arabic" w:hAnsi="Traditional Arabic" w:cs="Traditional Arabic"/>
          <w:sz w:val="32"/>
          <w:szCs w:val="32"/>
          <w:rtl/>
        </w:rPr>
        <w:t>كما لها أن تأمر الشركات عند الاقتضاء بنشر استدراكات فيما اذا لاحظت حالات سهو في الوثائق المنشورة أو المقدمة لها. كما لها نشر الملاحظات أو المعلومات التي يمكن للجنة أن تسجلها أو أي اعالم اخر قد يهم الجمهور في النشرة الرسمية للتسعيرة أو في أي أداة إعلامية أخرى</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vertAlign w:val="superscript"/>
          <w:rtl/>
          <w:lang w:bidi="ar-DZ"/>
        </w:rPr>
      </w:pPr>
      <w:r w:rsidRPr="00FB0B96">
        <w:rPr>
          <w:rFonts w:ascii="Traditional Arabic" w:eastAsia="Simplified Arabic" w:hAnsi="Traditional Arabic" w:cs="Traditional Arabic"/>
          <w:sz w:val="32"/>
          <w:szCs w:val="32"/>
          <w:rtl/>
        </w:rPr>
        <w:t>- وفي إطار هذه الوظيفة، يتوجب على اللجنة أيضا مراقبة تطبيق واجبات النظام الإعلامي وعليه، فإنه يجب على كل شركة أو مؤسسة عمومية تصدر قيما منقولة بالتجائها إلى التوفير علنا، أن تنشر قبل ذلك مذكرة لإعلام الجمهور تتضمن البيانات الإجبارية المنصوص عليها في القانون التجاري. يجب أن تؤشر اللجنة هذه المذكرة قبل نشرها</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 كما يمكن للجنة وفي اطار مهام الرقابة ان تتولى التأشير على المذكرة الموجهة إلى إعلام الجمهور والتي استلزمها المشرع، على كل شركة او مؤسسة عمومية تريد اصدار أوراقا مالية او أي منتوج مالي اخر عن طريق اللجوء الى الادخار العلني والمتعلقة بتنظيم الشركة ووضعها المالي وتطور نشاطها، حيث يجب ان تؤشر اللجنة على هذه المذكرة قبل نشرها. وهنا يمكن للجنة عند دراسة مشروع المذكرة أن تشير عند الاقتضاء إلى البيانات الواجب تعديلها، أو المعلومات الإضافية الواجب إدراجها فيها</w:t>
      </w: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tl/>
        </w:rPr>
        <w:t xml:space="preserve"> كما يمكن لها أن تطلب أي ايضاح أو تبرير يخص المعلومات الواردة فيها، كما يمكن لها أن ترفض التأشير على هذه المذكرة ما لم تتم الاستجابة لطلبات التعديل، ويكون للجنة مهلة شهرين قبل ان تمنح تأشيرتها او ترفض او تطلب معلومات اضافية. </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 xml:space="preserve">        - للجنة ان تجري عن طريق مداولة خاصة التحقيقات حول الشركات التي تلجأ إلى التوفير العلني والبنوك والمؤسسات المالية والوسطاء في عمليات البورصة، ولدى الأشخاص الذين يقدمون نظرا لنشاطهم المهني مساهمات في العمليات الخاصة بالقيم المنقولة او في المنتجات المالية المسعرة او يتولون ادارة.</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يمكن للجنة وفي اطار التحقيقات التي تجريها وعقب مداولة خاصة أن تستدعي أي شخص من شأنه أن يقدم لها معلومات في القضايا المطروحة عليها، او أن تأمر احد أعوانها باستدعائهم ويحق هنا لكل شخص تم استدعاؤه أن يستعين بمستشار من اختياره. وفي اطار اعمال التحقيق هذه يمكن للأعوان المؤهلين ان يطلبوا امدادهم بأية وثائق وان يحصلوا على نسخ منها كما يمكنهم الوصول الى جميع المحال ذات الاستعمال المهني</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 xml:space="preserve">يمكن لرئيس اللجنة، في حالة وقوع عمل يخالف الأحكام التشريعية أو التنظيمية، وكان من شأن هذا العمل الإضرار بحقوق المستثمرين في القيم المنقولة، أن يطلب من المحكمة إصدار أمر للمسؤولين بامتثال لهذه الأحكام ووضع حد للمخالفة أو إبطال آثارها، ويحيل نسخة على المجلس القضائي لتفصل فيه بشكل مستعجل ويمكن لها هنا ان تأمر تلقائيا باتخاذ أي إجراء تحفظي تحت طائلة الغرامة التهديدية لفائدة الخزينة العامة. ويمكن لرئيس اللجنة في هذا الاطار </w:t>
      </w:r>
      <w:r w:rsidRPr="00FB0B96">
        <w:rPr>
          <w:rFonts w:ascii="Traditional Arabic" w:eastAsia="Simplified Arabic" w:hAnsi="Traditional Arabic" w:cs="Traditional Arabic"/>
          <w:sz w:val="32"/>
          <w:szCs w:val="32"/>
          <w:rtl/>
          <w:lang w:bidi="ar-DZ"/>
        </w:rPr>
        <w:t>أ</w:t>
      </w:r>
      <w:r w:rsidRPr="00FB0B96">
        <w:rPr>
          <w:rFonts w:ascii="Traditional Arabic" w:eastAsia="Simplified Arabic" w:hAnsi="Traditional Arabic" w:cs="Traditional Arabic"/>
          <w:sz w:val="32"/>
          <w:szCs w:val="32"/>
          <w:rtl/>
        </w:rPr>
        <w:t>ن يتأسس كطرف مدني في حالة وقوع جرائم جزائية</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يمكن للجنة ان تتخذ قرارها بشأن قبول القيم المنقولة في المفاوضات أو شطبها. كما يمكن لها ان تأمر بتعليق تحديد سعر الأسهم ضمانا لإعلام وحماية المدخرين</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تجري اجتماعات البورصة تحت مراقبة مراقب تفوضه اللجنة، وتكون له سلطة التدخل في اجتماعاتها لتسوية الاحداث أو النزاعات العارضة ذات الطابع التقني والتي من شأنها ان تعوق سير اجتماعاتها وله أن يقضي خلال الاجتماعات بتعليق تحديد سعر او عدد من اسعار الاوراق المتداولة</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lastRenderedPageBreak/>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كما يمكن للجنة أن تعلق لمدة ال تتجاوز خمسة 05 أيام كاملة عمليات البورصة اذا ما حدث حادث كبير ينجر عنه اختلال في سير البورصة او حركات غير منتظمة لأسعار البورصة، وإذا كان هذا الحادث مما يتطلب تعليقها لمدة تتجاوز خمسة 05 أيام كان ذلك من اختصاص وزير المالية</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كما تسهر اللجنة ولحماية السوق على مراعاة قواعد أخلاقيات المهنة التي تفرض نفسها على المتعاملين في السوق والتي تحدد عن طريق لائحة تصدرها اللجنة.</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ج</w:t>
      </w:r>
      <w:r w:rsidRPr="00FB0B96">
        <w:rPr>
          <w:rFonts w:ascii="Traditional Arabic" w:eastAsia="Simplified Arabic" w:hAnsi="Traditional Arabic" w:cs="Traditional Arabic"/>
          <w:b/>
          <w:bCs/>
          <w:sz w:val="32"/>
          <w:szCs w:val="32"/>
          <w:rtl/>
        </w:rPr>
        <w:t>- الوظيفة التأديبية والتحكيمية</w:t>
      </w:r>
      <w:r w:rsidRPr="00FB0B96">
        <w:rPr>
          <w:rFonts w:ascii="Traditional Arabic" w:eastAsia="Simplified Arabic" w:hAnsi="Traditional Arabic" w:cs="Traditional Arabic"/>
          <w:sz w:val="32"/>
          <w:szCs w:val="32"/>
          <w:rtl/>
        </w:rPr>
        <w:t>: حسب المادة 51 من المرسوم التشريعي 10-93 تنشا ضمن اللجنة غرفة تأديبية وتحكيمية، تتألف زيادة على رئيس اللجنة الذي يتولى رئاسة الغرفة من:</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عضوين منتخبين من بين أعضاء اللجنة طوال مدة انتدابهما</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قاضيين يعينهما وزير العدل، ويختاران لكفاءتهما في المجالين الاقتصادي والمالي</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تختص هذه اللجنة في مجال التحكيم لدراسة أي نزاع تقني ناتج عن تفسير القوانين واللوائح السارية على سير البورصة. ويمكن لها أن تتدخل بين الأطراف كما يلي:</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بين الوسطاء في عمليات البورصة</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بين الوسطاء في عمليات البورصة وشركة إدارة بورصة القيم</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بين الوسطاء في عمليات البورصة والشركات المصدرة للأسهم</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بين الوسطاء في عمليات البورصة والآمرين بالسحب في البورصة</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كما تختص اللجنة في المجال التأديبي لدراسة أي إخلال بالواجبات المهنية وأخلاقيات المهنة من جانب الوسطاء، وكل مخالفة للأحكام التشريعية والتنظيمية المطبقة عليهم</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وحسب المادة 46 من المرسوم التشريعي 10-93 تعمل هذه اللجنة بناء على طلب من</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بناء على طلب اللجنة</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طلب من المراقب المذكور في المادة 46 والذي تجري اجتماعات البورصة تحت مراقبته</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بطلب من الأطراف المذكورة بالمادة 52 من المرسوم .10-93</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بناء على تظلم من أي طرف له مصلحة</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أما العقوبات التي تصدرها الغرفة في مجال التأديب فهي حسب درجة المخالفة كالآتي</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الإنذار</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Pr>
        <w:t>-</w:t>
      </w:r>
      <w:r w:rsidRPr="00FB0B96">
        <w:rPr>
          <w:rFonts w:ascii="Traditional Arabic" w:eastAsia="Simplified Arabic" w:hAnsi="Traditional Arabic" w:cs="Traditional Arabic"/>
          <w:sz w:val="32"/>
          <w:szCs w:val="32"/>
        </w:rPr>
        <w:tab/>
      </w:r>
      <w:r w:rsidRPr="00FB0B96">
        <w:rPr>
          <w:rFonts w:ascii="Traditional Arabic" w:eastAsia="Simplified Arabic" w:hAnsi="Traditional Arabic" w:cs="Traditional Arabic"/>
          <w:sz w:val="32"/>
          <w:szCs w:val="32"/>
          <w:rtl/>
        </w:rPr>
        <w:t>التوبيخ</w:t>
      </w:r>
      <w:r w:rsidRPr="00FB0B96">
        <w:rPr>
          <w:rFonts w:ascii="Traditional Arabic" w:eastAsia="Simplified Arabic" w:hAnsi="Traditional Arabic" w:cs="Traditional Arabic"/>
          <w:sz w:val="32"/>
          <w:szCs w:val="32"/>
        </w:rPr>
        <w:t>.</w:t>
      </w:r>
    </w:p>
    <w:p w:rsidR="00FB0B96" w:rsidRPr="00FB0B96" w:rsidRDefault="00FB0B96" w:rsidP="00FB0B96">
      <w:pPr>
        <w:bidi/>
        <w:spacing w:after="0" w:line="240" w:lineRule="auto"/>
        <w:ind w:firstLine="4"/>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w:t>
      </w:r>
      <w:r w:rsidRPr="00FB0B96">
        <w:rPr>
          <w:rFonts w:ascii="Traditional Arabic" w:eastAsia="Simplified Arabic" w:hAnsi="Traditional Arabic" w:cs="Traditional Arabic"/>
          <w:sz w:val="32"/>
          <w:szCs w:val="32"/>
          <w:rtl/>
        </w:rPr>
        <w:tab/>
        <w:t>حظر النشاط كله أو جزئه مؤقتا أو كليا.</w:t>
      </w:r>
    </w:p>
    <w:p w:rsidR="00FB0B96" w:rsidRPr="00FB0B96" w:rsidRDefault="00FB0B96" w:rsidP="00FB0B96">
      <w:pPr>
        <w:numPr>
          <w:ilvl w:val="0"/>
          <w:numId w:val="10"/>
        </w:numPr>
        <w:tabs>
          <w:tab w:val="left" w:pos="266"/>
        </w:tabs>
        <w:bidi/>
        <w:spacing w:after="0" w:line="240" w:lineRule="auto"/>
        <w:ind w:right="266" w:hanging="266"/>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t xml:space="preserve">سحب الاعتماد.و أو فرض غرامات مالية تحدد إما على أساس قيمة المبلغ المحتمل تحقيقه من جراء المخالفة أو الخطأ المرتكب، أو تحدد بضعف قيمة الورقة المالية المعنية بالمخالفة أو أن قيمة الغرامة في بعض الأحيان تقدر بقيمة عشرة ( </w:t>
      </w:r>
      <w:r w:rsidRPr="00FB0B96">
        <w:rPr>
          <w:rFonts w:ascii="Traditional Arabic" w:eastAsia="Simplified Arabic" w:hAnsi="Traditional Arabic" w:cs="Traditional Arabic"/>
          <w:sz w:val="32"/>
          <w:szCs w:val="32"/>
        </w:rPr>
        <w:t>( 10</w:t>
      </w:r>
      <w:r w:rsidRPr="00FB0B96">
        <w:rPr>
          <w:rFonts w:ascii="Traditional Arabic" w:eastAsia="Simplified Arabic" w:hAnsi="Traditional Arabic" w:cs="Traditional Arabic"/>
          <w:sz w:val="32"/>
          <w:szCs w:val="32"/>
          <w:rtl/>
        </w:rPr>
        <w:t xml:space="preserve"> ماليين دينار جزائري تدفع الى صندوق الضمان المحدد بالمادة </w:t>
      </w:r>
      <w:r w:rsidRPr="00FB0B96">
        <w:rPr>
          <w:rFonts w:ascii="Traditional Arabic" w:eastAsia="Simplified Arabic" w:hAnsi="Traditional Arabic" w:cs="Traditional Arabic"/>
          <w:sz w:val="32"/>
          <w:szCs w:val="32"/>
        </w:rPr>
        <w:t>64</w:t>
      </w:r>
      <w:r w:rsidRPr="00FB0B96">
        <w:rPr>
          <w:rFonts w:ascii="Traditional Arabic" w:eastAsia="Simplified Arabic" w:hAnsi="Traditional Arabic" w:cs="Traditional Arabic"/>
          <w:sz w:val="32"/>
          <w:szCs w:val="32"/>
          <w:rtl/>
        </w:rPr>
        <w:t xml:space="preserve"> من المرسوم التشريعي </w:t>
      </w:r>
      <w:r w:rsidRPr="00FB0B96">
        <w:rPr>
          <w:rFonts w:ascii="Traditional Arabic" w:eastAsia="Simplified Arabic" w:hAnsi="Traditional Arabic" w:cs="Traditional Arabic"/>
          <w:sz w:val="32"/>
          <w:szCs w:val="32"/>
        </w:rPr>
        <w:t>.10-93</w:t>
      </w:r>
    </w:p>
    <w:p w:rsidR="00FB0B96" w:rsidRPr="00FB0B96" w:rsidRDefault="00FB0B96" w:rsidP="00FB0B96">
      <w:pPr>
        <w:bidi/>
        <w:spacing w:after="0" w:line="240" w:lineRule="auto"/>
        <w:ind w:right="6" w:firstLine="720"/>
        <w:jc w:val="both"/>
        <w:rPr>
          <w:rFonts w:ascii="Traditional Arabic" w:eastAsia="Simplified Arabic" w:hAnsi="Traditional Arabic" w:cs="Traditional Arabic"/>
          <w:sz w:val="32"/>
          <w:szCs w:val="32"/>
          <w:rtl/>
        </w:rPr>
      </w:pPr>
      <w:r w:rsidRPr="00FB0B96">
        <w:rPr>
          <w:rFonts w:ascii="Traditional Arabic" w:eastAsia="Simplified Arabic" w:hAnsi="Traditional Arabic" w:cs="Traditional Arabic"/>
          <w:sz w:val="32"/>
          <w:szCs w:val="32"/>
          <w:rtl/>
        </w:rPr>
        <w:lastRenderedPageBreak/>
        <w:t xml:space="preserve">ولا تصدر الغرفة العقوبة ما لم يتم الاستماع الى الممثل المؤهل للمتهم أو ما لم يدع قانونا للاستماع إليه، وتعد قرارات اللجنة هنا قابلة للطعن بالإلغاء امام مجلس الدولة خلال شهر واحد من تاريخ تبليغ القرار موضوع الاحتجاج على ان يتم البت فيه خلال أجل ستة </w:t>
      </w:r>
      <w:r w:rsidRPr="00FB0B96">
        <w:rPr>
          <w:rFonts w:ascii="Traditional Arabic" w:eastAsia="Simplified Arabic" w:hAnsi="Traditional Arabic" w:cs="Traditional Arabic"/>
          <w:sz w:val="32"/>
          <w:szCs w:val="32"/>
        </w:rPr>
        <w:t>6</w:t>
      </w:r>
      <w:r w:rsidRPr="00FB0B96">
        <w:rPr>
          <w:rFonts w:ascii="Traditional Arabic" w:eastAsia="Simplified Arabic" w:hAnsi="Traditional Arabic" w:cs="Traditional Arabic"/>
          <w:sz w:val="32"/>
          <w:szCs w:val="32"/>
          <w:rtl/>
        </w:rPr>
        <w:t xml:space="preserve"> اشهر من تاريخ تسجيله. اما بالنسبة للمخالفات الأخرى ترفع أمام الجهات القضائية المختصة العادية.</w:t>
      </w:r>
      <w:r>
        <w:rPr>
          <w:rStyle w:val="Appeldenotedefin"/>
          <w:rFonts w:ascii="Traditional Arabic" w:eastAsia="Simplified Arabic" w:hAnsi="Traditional Arabic" w:cs="Traditional Arabic"/>
          <w:sz w:val="32"/>
          <w:szCs w:val="32"/>
          <w:rtl/>
        </w:rPr>
        <w:endnoteReference w:id="1"/>
      </w:r>
    </w:p>
    <w:p w:rsidR="00FB0B96" w:rsidRPr="00FB0B96" w:rsidRDefault="00FB0B96" w:rsidP="00FB0B96">
      <w:pPr>
        <w:bidi/>
        <w:spacing w:after="0" w:line="240" w:lineRule="auto"/>
        <w:jc w:val="both"/>
        <w:rPr>
          <w:rFonts w:ascii="Traditional Arabic" w:hAnsi="Traditional Arabic" w:cs="Traditional Arabic"/>
          <w:sz w:val="32"/>
          <w:szCs w:val="32"/>
          <w:rtl/>
        </w:rPr>
      </w:pPr>
    </w:p>
    <w:p w:rsidR="00FB0B96" w:rsidRPr="00FB0B96" w:rsidRDefault="00FB0B96" w:rsidP="00FB0B96">
      <w:pPr>
        <w:bidi/>
        <w:spacing w:after="0" w:line="240" w:lineRule="auto"/>
        <w:jc w:val="both"/>
        <w:rPr>
          <w:rFonts w:ascii="Traditional Arabic" w:hAnsi="Traditional Arabic" w:cs="Traditional Arabic"/>
          <w:sz w:val="32"/>
          <w:szCs w:val="32"/>
          <w:rtl/>
        </w:rPr>
      </w:pPr>
    </w:p>
    <w:p w:rsidR="0099388E" w:rsidRPr="00FB0B96" w:rsidRDefault="0099388E" w:rsidP="00FB0B96">
      <w:pPr>
        <w:bidi/>
        <w:spacing w:after="0" w:line="240" w:lineRule="auto"/>
        <w:jc w:val="both"/>
        <w:rPr>
          <w:rFonts w:ascii="Traditional Arabic" w:hAnsi="Traditional Arabic" w:cs="Traditional Arabic"/>
          <w:sz w:val="32"/>
          <w:szCs w:val="32"/>
        </w:rPr>
      </w:pPr>
    </w:p>
    <w:sectPr w:rsidR="0099388E" w:rsidRPr="00FB0B96" w:rsidSect="00EE6B71">
      <w:endnotePr>
        <w:numFmt w:val="decimal"/>
      </w:endnotePr>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46D" w:rsidRDefault="00D8146D" w:rsidP="003C4B4A">
      <w:pPr>
        <w:spacing w:after="0" w:line="240" w:lineRule="auto"/>
      </w:pPr>
      <w:r>
        <w:separator/>
      </w:r>
    </w:p>
  </w:endnote>
  <w:endnote w:type="continuationSeparator" w:id="0">
    <w:p w:rsidR="00D8146D" w:rsidRDefault="00D8146D" w:rsidP="003C4B4A">
      <w:pPr>
        <w:spacing w:after="0" w:line="240" w:lineRule="auto"/>
      </w:pPr>
      <w:r>
        <w:continuationSeparator/>
      </w:r>
    </w:p>
  </w:endnote>
  <w:endnote w:id="1">
    <w:p w:rsidR="002450D0" w:rsidRDefault="00FB0B96" w:rsidP="002450D0">
      <w:pPr>
        <w:tabs>
          <w:tab w:val="left" w:pos="1510"/>
          <w:tab w:val="center" w:pos="4321"/>
        </w:tabs>
        <w:bidi/>
        <w:spacing w:after="0" w:line="240" w:lineRule="auto"/>
        <w:ind w:left="-2" w:right="426"/>
        <w:rPr>
          <w:rFonts w:ascii="Traditional Arabic" w:eastAsia="Traditional Arabic" w:hAnsi="Traditional Arabic" w:cs="Traditional Arabic"/>
          <w:b/>
          <w:bCs/>
          <w:sz w:val="32"/>
          <w:szCs w:val="32"/>
        </w:rPr>
      </w:pPr>
      <w:r>
        <w:rPr>
          <w:rStyle w:val="Appeldenotedefin"/>
        </w:rPr>
        <w:endnoteRef/>
      </w:r>
      <w:r>
        <w:t xml:space="preserve"> </w:t>
      </w:r>
      <w:r w:rsidR="002450D0">
        <w:rPr>
          <w:rFonts w:ascii="Traditional Arabic" w:hAnsi="Traditional Arabic" w:cs="Traditional Arabic"/>
          <w:b/>
          <w:bCs/>
          <w:sz w:val="32"/>
          <w:szCs w:val="32"/>
          <w:rtl/>
          <w:lang w:bidi="ar-DZ"/>
        </w:rPr>
        <w:t xml:space="preserve">- مطبوعة : د/بن جمعة أمينة، </w:t>
      </w:r>
      <w:r w:rsidR="002450D0">
        <w:rPr>
          <w:rFonts w:ascii="Traditional Arabic" w:eastAsia="Traditional Arabic" w:hAnsi="Traditional Arabic" w:cs="Traditional Arabic"/>
          <w:b/>
          <w:bCs/>
          <w:sz w:val="32"/>
          <w:szCs w:val="32"/>
          <w:rtl/>
        </w:rPr>
        <w:t>جامعـة</w:t>
      </w:r>
      <w:r w:rsidR="002450D0">
        <w:rPr>
          <w:rFonts w:ascii="Traditional Arabic" w:eastAsia="Traditional Arabic" w:hAnsi="Traditional Arabic" w:cs="Traditional Arabic"/>
          <w:b/>
          <w:bCs/>
          <w:sz w:val="32"/>
          <w:szCs w:val="32"/>
        </w:rPr>
        <w:t xml:space="preserve"> </w:t>
      </w:r>
      <w:r w:rsidR="002450D0">
        <w:rPr>
          <w:rFonts w:ascii="Traditional Arabic" w:eastAsia="Traditional Arabic" w:hAnsi="Traditional Arabic" w:cs="Traditional Arabic"/>
          <w:b/>
          <w:bCs/>
          <w:sz w:val="32"/>
          <w:szCs w:val="32"/>
          <w:rtl/>
        </w:rPr>
        <w:t>عباس</w:t>
      </w:r>
      <w:r w:rsidR="002450D0">
        <w:rPr>
          <w:rFonts w:ascii="Traditional Arabic" w:eastAsia="Traditional Arabic" w:hAnsi="Traditional Arabic" w:cs="Traditional Arabic"/>
          <w:b/>
          <w:bCs/>
          <w:sz w:val="32"/>
          <w:szCs w:val="32"/>
        </w:rPr>
        <w:t xml:space="preserve"> </w:t>
      </w:r>
      <w:r w:rsidR="002450D0">
        <w:rPr>
          <w:rFonts w:ascii="Traditional Arabic" w:eastAsia="Traditional Arabic" w:hAnsi="Traditional Arabic" w:cs="Traditional Arabic"/>
          <w:b/>
          <w:bCs/>
          <w:sz w:val="32"/>
          <w:szCs w:val="32"/>
          <w:rtl/>
        </w:rPr>
        <w:t>لغرور</w:t>
      </w:r>
      <w:r w:rsidR="002450D0">
        <w:rPr>
          <w:rFonts w:ascii="Traditional Arabic" w:eastAsia="Traditional Arabic" w:hAnsi="Traditional Arabic" w:cs="Traditional Arabic"/>
          <w:b/>
          <w:bCs/>
          <w:sz w:val="32"/>
          <w:szCs w:val="32"/>
        </w:rPr>
        <w:t xml:space="preserve"> </w:t>
      </w:r>
      <w:r w:rsidR="002450D0">
        <w:rPr>
          <w:rFonts w:ascii="Traditional Arabic" w:eastAsia="Traditional Arabic" w:hAnsi="Traditional Arabic" w:cs="Traditional Arabic"/>
          <w:b/>
          <w:bCs/>
          <w:sz w:val="32"/>
          <w:szCs w:val="32"/>
          <w:rtl/>
        </w:rPr>
        <w:t>خنشلة</w:t>
      </w:r>
    </w:p>
    <w:p w:rsidR="00FB0B96" w:rsidRPr="002450D0" w:rsidRDefault="00FB0B96" w:rsidP="00FB0B96">
      <w:pPr>
        <w:pStyle w:val="Notedefin"/>
        <w:bidi/>
        <w:rPr>
          <w:rtl/>
          <w:lang w:bidi="ar-DZ"/>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46D" w:rsidRDefault="00D8146D" w:rsidP="003C4B4A">
      <w:pPr>
        <w:spacing w:after="0" w:line="240" w:lineRule="auto"/>
      </w:pPr>
      <w:r>
        <w:separator/>
      </w:r>
    </w:p>
  </w:footnote>
  <w:footnote w:type="continuationSeparator" w:id="0">
    <w:p w:rsidR="00D8146D" w:rsidRDefault="00D8146D" w:rsidP="003C4B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684A48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4"/>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5"/>
    <w:multiLevelType w:val="hybridMultilevel"/>
    <w:tmpl w:val="3DC240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6"/>
    <w:multiLevelType w:val="hybridMultilevel"/>
    <w:tmpl w:val="1BA026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9"/>
    <w:multiLevelType w:val="hybridMultilevel"/>
    <w:tmpl w:val="12E685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A"/>
    <w:multiLevelType w:val="hybridMultilevel"/>
    <w:tmpl w:val="70C6A5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D"/>
    <w:multiLevelType w:val="hybridMultilevel"/>
    <w:tmpl w:val="4F4EF0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E"/>
    <w:multiLevelType w:val="hybridMultilevel"/>
    <w:tmpl w:val="23F9C1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F"/>
    <w:multiLevelType w:val="hybridMultilevel"/>
    <w:tmpl w:val="649BB77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8"/>
    <w:multiLevelType w:val="hybridMultilevel"/>
    <w:tmpl w:val="741226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B71"/>
    <w:rsid w:val="000C39F9"/>
    <w:rsid w:val="001100E9"/>
    <w:rsid w:val="00187691"/>
    <w:rsid w:val="002450D0"/>
    <w:rsid w:val="002D6959"/>
    <w:rsid w:val="003C4B4A"/>
    <w:rsid w:val="004B2EA1"/>
    <w:rsid w:val="005C630C"/>
    <w:rsid w:val="00853226"/>
    <w:rsid w:val="00902403"/>
    <w:rsid w:val="009202AD"/>
    <w:rsid w:val="00941AA6"/>
    <w:rsid w:val="00966EF0"/>
    <w:rsid w:val="0099388E"/>
    <w:rsid w:val="00A70524"/>
    <w:rsid w:val="00AA154D"/>
    <w:rsid w:val="00B02E53"/>
    <w:rsid w:val="00BF7869"/>
    <w:rsid w:val="00CC2600"/>
    <w:rsid w:val="00D8146D"/>
    <w:rsid w:val="00E129B0"/>
    <w:rsid w:val="00E24557"/>
    <w:rsid w:val="00E7284C"/>
    <w:rsid w:val="00EC24F5"/>
    <w:rsid w:val="00EE5388"/>
    <w:rsid w:val="00EE6B71"/>
    <w:rsid w:val="00FB0B9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7281B6-BED7-43B7-B8D9-9B7A323B7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B71"/>
    <w:pPr>
      <w:spacing w:after="160" w:line="259" w:lineRule="auto"/>
      <w:jc w:val="left"/>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semiHidden/>
    <w:unhideWhenUsed/>
    <w:rsid w:val="003C4B4A"/>
    <w:pPr>
      <w:spacing w:after="0" w:line="240" w:lineRule="auto"/>
    </w:pPr>
    <w:rPr>
      <w:sz w:val="20"/>
      <w:szCs w:val="20"/>
    </w:rPr>
  </w:style>
  <w:style w:type="character" w:customStyle="1" w:styleId="NotedefinCar">
    <w:name w:val="Note de fin Car"/>
    <w:basedOn w:val="Policepardfaut"/>
    <w:link w:val="Notedefin"/>
    <w:uiPriority w:val="99"/>
    <w:semiHidden/>
    <w:rsid w:val="003C4B4A"/>
    <w:rPr>
      <w:sz w:val="20"/>
      <w:szCs w:val="20"/>
    </w:rPr>
  </w:style>
  <w:style w:type="character" w:styleId="Appeldenotedefin">
    <w:name w:val="endnote reference"/>
    <w:basedOn w:val="Policepardfaut"/>
    <w:uiPriority w:val="99"/>
    <w:semiHidden/>
    <w:unhideWhenUsed/>
    <w:rsid w:val="003C4B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778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D629B-68AD-4178-9471-10C8906FE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1156</Words>
  <Characters>6359</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Serhane</dc:creator>
  <cp:lastModifiedBy>naamane</cp:lastModifiedBy>
  <cp:revision>2</cp:revision>
  <dcterms:created xsi:type="dcterms:W3CDTF">2022-04-23T22:10:00Z</dcterms:created>
  <dcterms:modified xsi:type="dcterms:W3CDTF">2022-04-23T22:10:00Z</dcterms:modified>
</cp:coreProperties>
</file>