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23" w:rsidRDefault="002F0E83" w:rsidP="00122877">
      <w:pPr>
        <w:ind w:firstLine="0"/>
        <w:jc w:val="center"/>
        <w:rPr>
          <w:b/>
          <w:bCs/>
          <w:rtl/>
        </w:rPr>
      </w:pPr>
      <w:r>
        <w:rPr>
          <w:rFonts w:hint="cs"/>
          <w:b/>
          <w:bCs/>
          <w:rtl/>
        </w:rPr>
        <w:t>المحاضرة ا</w:t>
      </w:r>
      <w:r w:rsidR="00683FFB">
        <w:rPr>
          <w:rFonts w:hint="cs"/>
          <w:b/>
          <w:bCs/>
          <w:rtl/>
        </w:rPr>
        <w:t>ل</w:t>
      </w:r>
      <w:r w:rsidR="00122877">
        <w:rPr>
          <w:rFonts w:hint="cs"/>
          <w:b/>
          <w:bCs/>
          <w:rtl/>
        </w:rPr>
        <w:t>ثالث</w:t>
      </w:r>
      <w:r w:rsidR="00683FFB">
        <w:rPr>
          <w:rFonts w:hint="cs"/>
          <w:b/>
          <w:bCs/>
          <w:rtl/>
        </w:rPr>
        <w:t>ة</w:t>
      </w:r>
    </w:p>
    <w:p w:rsidR="00E07D0A" w:rsidRPr="00623905" w:rsidRDefault="00E07D0A" w:rsidP="00E07D0A">
      <w:pPr>
        <w:ind w:firstLine="0"/>
        <w:jc w:val="center"/>
        <w:rPr>
          <w:b/>
          <w:bCs/>
          <w:rtl/>
        </w:rPr>
      </w:pPr>
      <w:r w:rsidRPr="00623905">
        <w:rPr>
          <w:rFonts w:hint="cs"/>
          <w:b/>
          <w:bCs/>
          <w:rtl/>
        </w:rPr>
        <w:t>مدارس الأدب المقارن: المدرسة الفرنسي</w:t>
      </w:r>
      <w:r>
        <w:rPr>
          <w:rFonts w:hint="cs"/>
          <w:b/>
          <w:bCs/>
          <w:rtl/>
        </w:rPr>
        <w:t>ّ</w:t>
      </w:r>
      <w:r w:rsidRPr="00623905">
        <w:rPr>
          <w:rFonts w:hint="cs"/>
          <w:b/>
          <w:bCs/>
          <w:rtl/>
        </w:rPr>
        <w:t>ة</w:t>
      </w:r>
    </w:p>
    <w:p w:rsidR="00E07D0A" w:rsidRDefault="00E07D0A" w:rsidP="00E07D0A">
      <w:pPr>
        <w:rPr>
          <w:rtl/>
        </w:rPr>
      </w:pPr>
      <w:r w:rsidRPr="00A80A3F">
        <w:rPr>
          <w:rFonts w:hint="cs"/>
          <w:rtl/>
        </w:rPr>
        <w:t>تع</w:t>
      </w:r>
      <w:r>
        <w:rPr>
          <w:rFonts w:hint="cs"/>
          <w:rtl/>
        </w:rPr>
        <w:t>تبر</w:t>
      </w:r>
      <w:r w:rsidRPr="00A80A3F">
        <w:rPr>
          <w:rFonts w:hint="cs"/>
          <w:rtl/>
        </w:rPr>
        <w:t xml:space="preserve"> المدرسة الفرنسي</w:t>
      </w:r>
      <w:r>
        <w:rPr>
          <w:rFonts w:hint="cs"/>
          <w:rtl/>
        </w:rPr>
        <w:t>ّ</w:t>
      </w:r>
      <w:r w:rsidRPr="00A80A3F">
        <w:rPr>
          <w:rFonts w:hint="cs"/>
          <w:rtl/>
        </w:rPr>
        <w:t>ة التقليدي</w:t>
      </w:r>
      <w:r>
        <w:rPr>
          <w:rFonts w:hint="cs"/>
          <w:rtl/>
        </w:rPr>
        <w:t>ّ</w:t>
      </w:r>
      <w:r w:rsidRPr="00A80A3F">
        <w:rPr>
          <w:rFonts w:hint="cs"/>
          <w:rtl/>
        </w:rPr>
        <w:t>ة أوّل مدرسة</w:t>
      </w:r>
      <w:r>
        <w:rPr>
          <w:rFonts w:hint="cs"/>
          <w:rtl/>
        </w:rPr>
        <w:t xml:space="preserve"> منهجيّة في الأدب المقارن، وأقدمها وأشهرها، و</w:t>
      </w:r>
      <w:r>
        <w:rPr>
          <w:rtl/>
        </w:rPr>
        <w:t>«</w:t>
      </w:r>
      <w:r>
        <w:rPr>
          <w:rFonts w:hint="cs"/>
          <w:rtl/>
        </w:rPr>
        <w:t>يعد العصر الرومنطيقي في فرنسا، هو الأكثر إلحاحا لهذه الحاجة، كان هو الذي شهد ولادة الأدب المقارن. وكذا البدء مع سانت بوف الذي تبناها من جان جاك أمبير الذي وضع دروسا لتلامذته تحت عنوان "تاريخ الأدب المقارن"</w:t>
      </w:r>
      <w:r>
        <w:rPr>
          <w:rtl/>
        </w:rPr>
        <w:t>»</w:t>
      </w:r>
      <w:r>
        <w:rPr>
          <w:rStyle w:val="Appelnotedebasdep"/>
          <w:rtl/>
        </w:rPr>
        <w:footnoteReference w:customMarkFollows="1" w:id="2"/>
        <w:t>1</w:t>
      </w:r>
      <w:r>
        <w:rPr>
          <w:rFonts w:hint="cs"/>
          <w:rtl/>
        </w:rPr>
        <w:t>. فالرومانسية إذن قد ساهمت في ظهور المدرسة الفرنسيّة، كما نجد أيضا أن الفضاء الاستراتيجي الفرنسي، والتاريخ التوسعي لمستعمراتها، وجهود "فرديناند برونتيير" "</w:t>
      </w:r>
      <w:r w:rsidRPr="004D24D3">
        <w:rPr>
          <w:rFonts w:asciiTheme="majorBidi" w:hAnsiTheme="majorBidi" w:cstheme="majorBidi"/>
        </w:rPr>
        <w:t>Ferdinan Brenetier</w:t>
      </w:r>
      <w:r>
        <w:rPr>
          <w:rFonts w:hint="cs"/>
          <w:rtl/>
        </w:rPr>
        <w:t>" الذي كان يلقي محاضراته من منبر المدرسة العليا للأساتذة (</w:t>
      </w:r>
      <w:r w:rsidRPr="004D24D3">
        <w:rPr>
          <w:rFonts w:asciiTheme="majorBidi" w:hAnsiTheme="majorBidi" w:cstheme="majorBidi"/>
        </w:rPr>
        <w:t xml:space="preserve">Ecole Superieur Normal </w:t>
      </w:r>
      <w:r>
        <w:rPr>
          <w:rFonts w:hint="cs"/>
          <w:rtl/>
        </w:rPr>
        <w:t>) وجهود تلميذه "جوزيف تكست" "</w:t>
      </w:r>
      <w:r w:rsidRPr="004D24D3">
        <w:rPr>
          <w:rFonts w:asciiTheme="majorBidi" w:hAnsiTheme="majorBidi" w:cstheme="majorBidi"/>
        </w:rPr>
        <w:t>Josef Text</w:t>
      </w:r>
      <w:r>
        <w:rPr>
          <w:rFonts w:hint="cs"/>
          <w:rtl/>
        </w:rPr>
        <w:t>"... قد ساعد في بروز هذه المدرسة</w:t>
      </w:r>
      <w:r>
        <w:rPr>
          <w:rStyle w:val="Appelnotedebasdep"/>
          <w:rtl/>
        </w:rPr>
        <w:footnoteReference w:customMarkFollows="1" w:id="3"/>
        <w:t>2</w:t>
      </w:r>
      <w:r>
        <w:rPr>
          <w:rFonts w:hint="cs"/>
          <w:rtl/>
        </w:rPr>
        <w:t>.</w:t>
      </w:r>
    </w:p>
    <w:p w:rsidR="00E07D0A" w:rsidRDefault="00E07D0A" w:rsidP="00E07D0A">
      <w:pPr>
        <w:rPr>
          <w:rtl/>
        </w:rPr>
      </w:pPr>
      <w:r>
        <w:rPr>
          <w:rFonts w:hint="cs"/>
          <w:rtl/>
        </w:rPr>
        <w:t xml:space="preserve">وتوضح اتجاه هذه المدرسة مع ظهور أوّل كرسي للدراسات المقارنة وأوّل مجلة للأدب المقارن، وذلك سنة 1921 حين كتب "فرديناند بالدينسبرجر" مقالا بعنوان "الكلمة والشيء" </w:t>
      </w:r>
      <w:r w:rsidRPr="002742E7">
        <w:rPr>
          <w:rFonts w:asciiTheme="majorBidi" w:hAnsiTheme="majorBidi" w:cstheme="majorBidi"/>
        </w:rPr>
        <w:t>Le</w:t>
      </w:r>
      <w:r>
        <w:t xml:space="preserve"> </w:t>
      </w:r>
      <w:r>
        <w:rPr>
          <w:rFonts w:hint="cs"/>
          <w:rtl/>
        </w:rPr>
        <w:t xml:space="preserve">     </w:t>
      </w:r>
      <w:r w:rsidRPr="0050715C">
        <w:rPr>
          <w:rFonts w:asciiTheme="majorBidi" w:hAnsiTheme="majorBidi" w:cstheme="majorBidi"/>
        </w:rPr>
        <w:t>mot et la chose</w:t>
      </w:r>
      <w:r>
        <w:rPr>
          <w:rFonts w:hint="cs"/>
          <w:rtl/>
        </w:rPr>
        <w:t>" الذي يعد أوّل عمل تنظيريّ وتاريخيّ للمدرسة الفرنسيّة، وهو يرى أن الأدب المقارن قائم على فكرة الانتشار، يتعدى الحدود الوطنيّة واللّسانيّة متبنيا تلك العلاقات التي خلفها التاريخ الأدبيّ...</w:t>
      </w:r>
      <w:r>
        <w:rPr>
          <w:rStyle w:val="Appelnotedebasdep"/>
          <w:rtl/>
        </w:rPr>
        <w:footnoteReference w:customMarkFollows="1" w:id="4"/>
        <w:t>3</w:t>
      </w:r>
      <w:r>
        <w:rPr>
          <w:rFonts w:hint="cs"/>
          <w:rtl/>
        </w:rPr>
        <w:t>.</w:t>
      </w:r>
    </w:p>
    <w:p w:rsidR="00E07D0A" w:rsidRDefault="00E07D0A" w:rsidP="00E07D0A">
      <w:pPr>
        <w:rPr>
          <w:rtl/>
        </w:rPr>
      </w:pPr>
      <w:r>
        <w:rPr>
          <w:rFonts w:hint="cs"/>
          <w:rtl/>
        </w:rPr>
        <w:t>كما نجد أيضا بول فان تييغم (</w:t>
      </w:r>
      <w:r w:rsidRPr="00A369F4">
        <w:rPr>
          <w:rFonts w:asciiTheme="majorBidi" w:hAnsiTheme="majorBidi" w:cstheme="majorBidi"/>
        </w:rPr>
        <w:t>Paul Van Tieghem</w:t>
      </w:r>
      <w:r>
        <w:rPr>
          <w:rFonts w:hint="cs"/>
          <w:rtl/>
        </w:rPr>
        <w:t>) الذي يرى أن الأدب المقارن يدرس اللّمسات المشتركة لعدّة آداب</w:t>
      </w:r>
      <w:r>
        <w:rPr>
          <w:rStyle w:val="Appelnotedebasdep"/>
          <w:rtl/>
        </w:rPr>
        <w:footnoteReference w:customMarkFollows="1" w:id="5"/>
        <w:t>4</w:t>
      </w:r>
      <w:r>
        <w:rPr>
          <w:rFonts w:hint="cs"/>
          <w:rtl/>
        </w:rPr>
        <w:t xml:space="preserve"> فظل يقدم مدخلا للدراسات المقارنة في كتابه "الأدب المقارن" (1931). كما ساهمت مجلة "الأدب المقارن" وكتب سلسلة "خزانة مجلة </w:t>
      </w:r>
      <w:r>
        <w:rPr>
          <w:rFonts w:hint="cs"/>
          <w:rtl/>
        </w:rPr>
        <w:lastRenderedPageBreak/>
        <w:t>الأدب المقارن" في نشر مبادئ وأهداف بالدينسبرجر ورفاقه مع اختلاف وجهات نظرهم المبدئيّة والمنهجيّة</w:t>
      </w:r>
      <w:r>
        <w:rPr>
          <w:rStyle w:val="Appelnotedebasdep"/>
          <w:rtl/>
        </w:rPr>
        <w:footnoteReference w:customMarkFollows="1" w:id="6"/>
        <w:t>5</w:t>
      </w:r>
      <w:r>
        <w:rPr>
          <w:rFonts w:hint="cs"/>
          <w:rtl/>
        </w:rPr>
        <w:t xml:space="preserve">. </w:t>
      </w:r>
      <w:r>
        <w:t xml:space="preserve"> </w:t>
      </w:r>
    </w:p>
    <w:p w:rsidR="00E07D0A" w:rsidRDefault="00E07D0A" w:rsidP="00E07D0A">
      <w:pPr>
        <w:rPr>
          <w:rtl/>
        </w:rPr>
      </w:pPr>
      <w:r>
        <w:rPr>
          <w:rFonts w:hint="cs"/>
          <w:rtl/>
        </w:rPr>
        <w:t>ونجد أيضا "فرنسوا غويار" في كتابه "الأدب المقارن" الذي يمثّل الكلمة الأخيرة في المنهج الفرنسي عند الجيل الأوّل من رواده، لأنّه صدر بعد أن تحدّدت معالم المنهج الأمريكي في الأدب المقارن</w:t>
      </w:r>
      <w:r>
        <w:rPr>
          <w:rStyle w:val="Appelnotedebasdep"/>
          <w:rtl/>
        </w:rPr>
        <w:footnoteReference w:customMarkFollows="1" w:id="7"/>
        <w:t>1</w:t>
      </w:r>
      <w:r>
        <w:rPr>
          <w:rFonts w:hint="cs"/>
          <w:rtl/>
        </w:rPr>
        <w:t>.</w:t>
      </w:r>
    </w:p>
    <w:p w:rsidR="00E07D0A" w:rsidRDefault="00E07D0A" w:rsidP="00E07D0A">
      <w:pPr>
        <w:rPr>
          <w:rtl/>
        </w:rPr>
      </w:pPr>
      <w:r>
        <w:rPr>
          <w:rFonts w:hint="cs"/>
          <w:rtl/>
        </w:rPr>
        <w:t>و</w:t>
      </w:r>
      <w:r>
        <w:rPr>
          <w:rtl/>
        </w:rPr>
        <w:t>«</w:t>
      </w:r>
      <w:r>
        <w:rPr>
          <w:rFonts w:hint="cs"/>
          <w:rtl/>
        </w:rPr>
        <w:t xml:space="preserve">خلاصة ما دعا إليه أولئك الرواد </w:t>
      </w:r>
      <w:r>
        <w:rPr>
          <w:rtl/>
        </w:rPr>
        <w:t>–</w:t>
      </w:r>
      <w:r>
        <w:rPr>
          <w:rFonts w:hint="cs"/>
          <w:rtl/>
        </w:rPr>
        <w:t xml:space="preserve"> وجان ماريه كاريه فيهم- أن الأدب المقارن هو دراسة علاقات التأثر بين الأدب الفرنسي والآداب الأوروبيّة الأخرى، ودراسة الصلات بين الآداب القوميّة المختلفة دراسة تاريخيّة مؤيدة بالوثائق والمصادر، وكأن الأدب المقارن </w:t>
      </w:r>
      <w:r>
        <w:rPr>
          <w:rtl/>
        </w:rPr>
        <w:t>–</w:t>
      </w:r>
      <w:r>
        <w:rPr>
          <w:rFonts w:hint="cs"/>
          <w:rtl/>
        </w:rPr>
        <w:t xml:space="preserve"> والحال هذه- فرع من فروع تاريخ الأدب. وهذا هو الذي يطلق عليه "التيّار التقليديّ" أو "التيّار التاريخيّ" في المنهج الفرنسيّ، أي تيّار الجيل الأوّل جيل الرواد</w:t>
      </w:r>
      <w:r>
        <w:rPr>
          <w:rtl/>
        </w:rPr>
        <w:t>»</w:t>
      </w:r>
      <w:r>
        <w:rPr>
          <w:rStyle w:val="Appelnotedebasdep"/>
          <w:rtl/>
        </w:rPr>
        <w:footnoteReference w:customMarkFollows="1" w:id="8"/>
        <w:t>2</w:t>
      </w:r>
      <w:r>
        <w:rPr>
          <w:rFonts w:hint="cs"/>
          <w:rtl/>
        </w:rPr>
        <w:t xml:space="preserve"> لذلك سميت المدرسة الفرنسيّة بالمدرسة التقليديّة، والمدرسة التاريخيّة، وبما أنها تركز على التاريخ فهذا يعني أنها تركز على كلّ ما هو خارجي لتحديد عملية التأثر والتأثير، أي أنها تنطلق من خارج النص وليس من داخله...</w:t>
      </w:r>
    </w:p>
    <w:p w:rsidR="00E07D0A" w:rsidRDefault="00E07D0A" w:rsidP="00E07D0A">
      <w:pPr>
        <w:rPr>
          <w:rtl/>
        </w:rPr>
      </w:pPr>
      <w:r>
        <w:rPr>
          <w:rFonts w:hint="cs"/>
          <w:rtl/>
        </w:rPr>
        <w:t xml:space="preserve">لقد وضعت المدرسة الفرنسية </w:t>
      </w:r>
      <w:r>
        <w:rPr>
          <w:rtl/>
        </w:rPr>
        <w:t>«</w:t>
      </w:r>
      <w:r>
        <w:rPr>
          <w:rFonts w:hint="cs"/>
          <w:rtl/>
        </w:rPr>
        <w:t xml:space="preserve">أسس البحث المتين: فتبنت ضرورة التسلسل الزمني الدقيق، بطريقة مثلى قبل أي تفسير، حيث لا تكمن الصعوبة الأساسية في وضع التواريخ، وإنما تكمن في اختيارها، وتبنت ضرورة التنقيب فوق الحدود القومية بالاعتماد على معارف لغوية جيّدة (مع تفضيل اللّجوء إلى النصوص الأصليّة دوما بدلا من الاعتماد على الترجمات) وتبنت أخيرا ضرورة تجميع جملة من الأحداث متصلة </w:t>
      </w:r>
      <w:r>
        <w:rPr>
          <w:rtl/>
        </w:rPr>
        <w:t>–</w:t>
      </w:r>
      <w:r>
        <w:rPr>
          <w:rFonts w:hint="cs"/>
          <w:rtl/>
        </w:rPr>
        <w:t xml:space="preserve"> مستمدة من حضارة- غالبا ما تكون مهملة</w:t>
      </w:r>
      <w:r>
        <w:rPr>
          <w:rtl/>
        </w:rPr>
        <w:t>»</w:t>
      </w:r>
      <w:r>
        <w:rPr>
          <w:rStyle w:val="Appelnotedebasdep"/>
          <w:rtl/>
        </w:rPr>
        <w:footnoteReference w:customMarkFollows="1" w:id="9"/>
        <w:t>3</w:t>
      </w:r>
      <w:r>
        <w:rPr>
          <w:rFonts w:hint="cs"/>
          <w:rtl/>
        </w:rPr>
        <w:t xml:space="preserve">. أي اختيار التواريخ ودراسة النصوص في لغاتها الأصلية، فقد </w:t>
      </w:r>
      <w:r>
        <w:rPr>
          <w:rtl/>
        </w:rPr>
        <w:t>«</w:t>
      </w:r>
      <w:r>
        <w:rPr>
          <w:rFonts w:hint="cs"/>
          <w:rtl/>
        </w:rPr>
        <w:t xml:space="preserve">ربط الفرنسيون الدراسة المقارنة وفقا لهذا بتواريخ الآداب وبالصلات التاريخيّة والأدبيّة بين الآداب المدروسة مشددين في ذلك مع شرط وقوع الصلات في ما بين هذه الآداب أوّلا، </w:t>
      </w:r>
      <w:r>
        <w:rPr>
          <w:rFonts w:hint="cs"/>
          <w:rtl/>
        </w:rPr>
        <w:lastRenderedPageBreak/>
        <w:t>وأن تكون لغة هذه الآداب مختلفة ثانيا، ووقع التأثير والتأثر فيما بينها ثالثا</w:t>
      </w:r>
      <w:r>
        <w:rPr>
          <w:rtl/>
        </w:rPr>
        <w:t>»</w:t>
      </w:r>
      <w:r>
        <w:rPr>
          <w:rStyle w:val="Appelnotedebasdep"/>
          <w:rtl/>
        </w:rPr>
        <w:footnoteReference w:customMarkFollows="1" w:id="10"/>
        <w:t>4</w:t>
      </w:r>
      <w:r>
        <w:rPr>
          <w:rFonts w:hint="cs"/>
          <w:rtl/>
        </w:rPr>
        <w:t xml:space="preserve"> فالمدرسة الفرنسيّة تشترط </w:t>
      </w:r>
      <w:r>
        <w:rPr>
          <w:rtl/>
        </w:rPr>
        <w:t>–</w:t>
      </w:r>
      <w:r>
        <w:rPr>
          <w:rFonts w:hint="cs"/>
          <w:rtl/>
        </w:rPr>
        <w:t xml:space="preserve"> إذن- اختلاف اللّغة، ووجود صلّة تاريخيّة بين الآداب المدروسة، والتركيز على ثنائيّة التأثر والتأثير.</w:t>
      </w:r>
    </w:p>
    <w:p w:rsidR="00E07D0A" w:rsidRDefault="00E07D0A" w:rsidP="00E07D0A">
      <w:pPr>
        <w:rPr>
          <w:rtl/>
        </w:rPr>
      </w:pPr>
      <w:r>
        <w:rPr>
          <w:rFonts w:hint="cs"/>
          <w:rtl/>
        </w:rPr>
        <w:t xml:space="preserve">وقد رافق انتشار النزعة التاريخيّة في الدّراسات الأدبيّة المقارنة نزعة أخرى، متمثّلة في النزعة الوضعيّة </w:t>
      </w:r>
      <w:r>
        <w:rPr>
          <w:rtl/>
        </w:rPr>
        <w:t>«</w:t>
      </w:r>
      <w:r>
        <w:rPr>
          <w:rFonts w:hint="cs"/>
          <w:rtl/>
        </w:rPr>
        <w:t>وقد عبرت النزعة الوضعية عن نفسها في الأدب المقارن من خلال دعوة "المدرسة الفرنسية التقليدية" إلى اعتماد المنهج التجريبي في دراسات التأثير والتأثر، بل البرهنة على وجوده بالأدلة والوثائق الملموسة التي لا تدع مجالا للشك. شكل هذا التواؤم بين النزعتين التاريخيّة والوضعيّة أساسا نظريا لما يعرف بالمدرسة الفرنسيّة</w:t>
      </w:r>
      <w:r>
        <w:rPr>
          <w:rtl/>
        </w:rPr>
        <w:t>»</w:t>
      </w:r>
      <w:r>
        <w:rPr>
          <w:rStyle w:val="Appelnotedebasdep"/>
          <w:rtl/>
        </w:rPr>
        <w:footnoteReference w:customMarkFollows="1" w:id="11"/>
        <w:t>1</w:t>
      </w:r>
      <w:r>
        <w:rPr>
          <w:rFonts w:hint="cs"/>
          <w:rtl/>
        </w:rPr>
        <w:t xml:space="preserve">. فالمعرفة الصحيحة </w:t>
      </w:r>
      <w:r>
        <w:rPr>
          <w:rtl/>
        </w:rPr>
        <w:t>–</w:t>
      </w:r>
      <w:r>
        <w:rPr>
          <w:rFonts w:hint="cs"/>
          <w:rtl/>
        </w:rPr>
        <w:t>حسب المدرسة الفرنسيّة- هي التي تستند إلى قاعدة تجريبيّة، وليست تلك التي تقوم على الحدس والتخمين، لذلك فقد دعوا إلى تطبيق المنهج التجريبيّ على الأدب المقارن، من خلال البرهنة على وجود الـت</w:t>
      </w:r>
      <w:r>
        <w:rPr>
          <w:rFonts w:hint="cs"/>
          <w:vanish/>
          <w:rtl/>
        </w:rPr>
        <w:t>ثر والتا</w:t>
      </w:r>
      <w:r>
        <w:rPr>
          <w:rFonts w:hint="cs"/>
          <w:rtl/>
        </w:rPr>
        <w:t>أثر والتأثير بمختلف الأدلة والوثائق التاريخيّة الملموسة...</w:t>
      </w:r>
    </w:p>
    <w:p w:rsidR="00E07D0A" w:rsidRDefault="00E07D0A" w:rsidP="00E07D0A">
      <w:pPr>
        <w:rPr>
          <w:rtl/>
        </w:rPr>
      </w:pPr>
      <w:r>
        <w:rPr>
          <w:rFonts w:hint="cs"/>
          <w:rtl/>
        </w:rPr>
        <w:t xml:space="preserve">وقد </w:t>
      </w:r>
      <w:r>
        <w:rPr>
          <w:rtl/>
        </w:rPr>
        <w:t>«</w:t>
      </w:r>
      <w:r>
        <w:rPr>
          <w:rFonts w:hint="cs"/>
          <w:rtl/>
        </w:rPr>
        <w:t>وسعت المدرسة الفرنسية متسلحة بمنهجيتها هذه دائرة التراث الأدبي القابل للاستغلال، وحتى الشائع منه، فاستخرجت بذلك من لامبالاة البحث المغلق كلا من المراسلات... والنصوص المنشورة خارج الحدود القومية وذكريات الترحال أو شهادات اللقاءات والأحاديث، على الرغم من أن هذه الوثائق لا ترقى إلى مستوى الروائع الأدبية، إلا أنها سدت نقائص عديدة، وعمقت بعددها وتنوعها الرؤية التي عادة ما تفتقر إليها الأبحاث القومية، فكان يكفي أن يمتد حب الاستطلاع إلى الخارج بانتظام بدلا من الاحتشام الذي يتقوقع فيه</w:t>
      </w:r>
      <w:r>
        <w:rPr>
          <w:rtl/>
        </w:rPr>
        <w:t>»</w:t>
      </w:r>
      <w:r>
        <w:rPr>
          <w:rStyle w:val="Appelnotedebasdep"/>
          <w:rtl/>
        </w:rPr>
        <w:footnoteReference w:customMarkFollows="1" w:id="12"/>
        <w:t>2</w:t>
      </w:r>
      <w:r>
        <w:rPr>
          <w:rFonts w:hint="cs"/>
          <w:rtl/>
        </w:rPr>
        <w:t>. فهي إذن تهتم بكلّ الأعمال الأدبيّة... التي من شأنها أن تخدم الأدب المقارن.</w:t>
      </w:r>
    </w:p>
    <w:p w:rsidR="00E07D0A" w:rsidRDefault="00E07D0A" w:rsidP="00E07D0A">
      <w:pPr>
        <w:rPr>
          <w:rtl/>
        </w:rPr>
      </w:pPr>
      <w:r>
        <w:rPr>
          <w:rFonts w:hint="cs"/>
          <w:rtl/>
        </w:rPr>
        <w:t xml:space="preserve">وعموما، يمكن لنا تلخيص </w:t>
      </w:r>
      <w:r w:rsidRPr="00B70705">
        <w:rPr>
          <w:rFonts w:hint="cs"/>
          <w:b/>
          <w:bCs/>
          <w:rtl/>
        </w:rPr>
        <w:t>مبادئ المدرسة الفرنسي</w:t>
      </w:r>
      <w:r>
        <w:rPr>
          <w:rFonts w:hint="cs"/>
          <w:b/>
          <w:bCs/>
          <w:rtl/>
        </w:rPr>
        <w:t>ّ</w:t>
      </w:r>
      <w:r w:rsidRPr="00B70705">
        <w:rPr>
          <w:rFonts w:hint="cs"/>
          <w:b/>
          <w:bCs/>
          <w:rtl/>
        </w:rPr>
        <w:t>ة للأدب المقارن</w:t>
      </w:r>
      <w:r>
        <w:rPr>
          <w:rFonts w:hint="cs"/>
          <w:rtl/>
        </w:rPr>
        <w:t xml:space="preserve"> في النقاط التاليّة:</w:t>
      </w:r>
    </w:p>
    <w:p w:rsidR="00E07D0A" w:rsidRDefault="00E07D0A" w:rsidP="00E07D0A">
      <w:pPr>
        <w:rPr>
          <w:rtl/>
        </w:rPr>
      </w:pPr>
      <w:r>
        <w:rPr>
          <w:rFonts w:hint="cs"/>
          <w:rtl/>
        </w:rPr>
        <w:lastRenderedPageBreak/>
        <w:t>- التركيز على منهج التاريخ الأدبي، فالأدب المقارن هو الذي يدرس العلاقات التاريخيّة بين مختلف الآداب؛</w:t>
      </w:r>
    </w:p>
    <w:p w:rsidR="00E07D0A" w:rsidRDefault="00E07D0A" w:rsidP="00E07D0A">
      <w:pPr>
        <w:rPr>
          <w:rtl/>
        </w:rPr>
      </w:pPr>
      <w:r>
        <w:rPr>
          <w:rFonts w:hint="cs"/>
          <w:rtl/>
        </w:rPr>
        <w:t>- الاهتمام بثنائية التأثر والتأثير؛</w:t>
      </w:r>
    </w:p>
    <w:p w:rsidR="00E07D0A" w:rsidRDefault="00E07D0A" w:rsidP="00E07D0A">
      <w:pPr>
        <w:rPr>
          <w:rtl/>
        </w:rPr>
      </w:pPr>
      <w:r>
        <w:rPr>
          <w:rFonts w:hint="cs"/>
          <w:rtl/>
        </w:rPr>
        <w:t>- المقارنة تكون بين أدبين مختلفين في اللّغة أو أكثر، أي شرط اختلاف اللّغة.</w:t>
      </w:r>
    </w:p>
    <w:p w:rsidR="00E07D0A" w:rsidRDefault="00E07D0A" w:rsidP="00E07D0A">
      <w:pPr>
        <w:rPr>
          <w:rtl/>
        </w:rPr>
      </w:pPr>
    </w:p>
    <w:p w:rsidR="00E07D0A" w:rsidRDefault="00E07D0A" w:rsidP="00E07D0A">
      <w:pPr>
        <w:rPr>
          <w:rtl/>
        </w:rPr>
      </w:pPr>
      <w:r w:rsidRPr="007766F9">
        <w:rPr>
          <w:rFonts w:hint="cs"/>
          <w:b/>
          <w:bCs/>
          <w:rtl/>
        </w:rPr>
        <w:t>ويؤخذ على المدرسة الفرنسيّة</w:t>
      </w:r>
      <w:r>
        <w:rPr>
          <w:rFonts w:hint="cs"/>
          <w:rtl/>
        </w:rPr>
        <w:t>:</w:t>
      </w:r>
    </w:p>
    <w:p w:rsidR="00E07D0A" w:rsidRDefault="00E07D0A" w:rsidP="00E07D0A">
      <w:pPr>
        <w:rPr>
          <w:rtl/>
        </w:rPr>
      </w:pPr>
      <w:r>
        <w:rPr>
          <w:rFonts w:hint="cs"/>
          <w:rtl/>
        </w:rPr>
        <w:t>-غياب الوضوح في تحديد موضوع الأدب المقارن ومناهجه؛</w:t>
      </w:r>
    </w:p>
    <w:p w:rsidR="00E07D0A" w:rsidRDefault="00E07D0A" w:rsidP="00E07D0A">
      <w:pPr>
        <w:rPr>
          <w:rtl/>
        </w:rPr>
      </w:pPr>
      <w:r>
        <w:rPr>
          <w:rFonts w:hint="cs"/>
          <w:rtl/>
        </w:rPr>
        <w:t>- اهتمت بالتاريخ عوض الاهتمام بالآداب، فتحول الباحث في الأدب المقارن إلى مؤرخ يجمع الوثائق والمصادر... وليس إلى أديب مقارن نتيجة استبعاد المدرسة للجوانب الجماليّة والذوقيّة من مضمار الدّراسات المقارنة، أي أنها أقامت جدارا مصطنعا بين الجوانب التاريخيّة وبين الجوانب الجماليّة...</w:t>
      </w:r>
      <w:r>
        <w:rPr>
          <w:rStyle w:val="Appelnotedebasdep"/>
          <w:rtl/>
        </w:rPr>
        <w:footnoteReference w:customMarkFollows="1" w:id="13"/>
        <w:t>1</w:t>
      </w:r>
      <w:r>
        <w:rPr>
          <w:rFonts w:hint="cs"/>
          <w:rtl/>
        </w:rPr>
        <w:t>. أي أنها أهملت الأبعاد الداخلية للأدب، ومن ثم فهي تعمل على إقصاء المقارنات التي لا تحتكم إلى مرجعية تاريخيّة تدل على التأثير المتبادل بين الآداب حتى وإن كانت هناك تشابهات كثيرة بين النصوص التي يراد مقارنتها.</w:t>
      </w:r>
      <w:r>
        <w:rPr>
          <w:rFonts w:hint="cs"/>
          <w:rtl/>
        </w:rPr>
        <w:tab/>
      </w:r>
    </w:p>
    <w:p w:rsidR="00E07D0A" w:rsidRDefault="00E07D0A" w:rsidP="00E07D0A">
      <w:pPr>
        <w:rPr>
          <w:rtl/>
        </w:rPr>
      </w:pPr>
      <w:r>
        <w:rPr>
          <w:rFonts w:hint="cs"/>
          <w:rtl/>
        </w:rPr>
        <w:t xml:space="preserve">- أنها بالغت في ربط الأسباب بالمسببات، ذلك أن الآداب مختلفة عن العلوم التجريبيّة، لذلك فقد هاجم النقاد الجدد مقولة السببية </w:t>
      </w:r>
      <w:r>
        <w:rPr>
          <w:rtl/>
        </w:rPr>
        <w:t>«</w:t>
      </w:r>
      <w:r>
        <w:rPr>
          <w:rFonts w:hint="cs"/>
          <w:rtl/>
        </w:rPr>
        <w:t>بعنف فهم يرون أن السببية الحتمية التي تقول أنه لولا الفواصل أ، ب، ج ( المحيط الأدبي) لما ظهر العمل الأدبي (س) على هذه الصورة شكلا ومضمونا يمكن تطبيقها على العلوم الطبيعية ولا يمكن تطبيقها على الفن الأدبي، ففي العلوم الطبيعية يمكن تجريب هذه العوامل مع تعديلها وتبديلها على الظاهرة الطبيعية في حين لا يمكن تجريب العوامل مع الظاهرة الفنية الأدبية</w:t>
      </w:r>
      <w:r>
        <w:rPr>
          <w:rtl/>
        </w:rPr>
        <w:t>»</w:t>
      </w:r>
      <w:r>
        <w:rPr>
          <w:rStyle w:val="Appelnotedebasdep"/>
          <w:rtl/>
        </w:rPr>
        <w:footnoteReference w:customMarkFollows="1" w:id="14"/>
        <w:t>2</w:t>
      </w:r>
      <w:r>
        <w:rPr>
          <w:rFonts w:hint="cs"/>
          <w:rtl/>
        </w:rPr>
        <w:t>.</w:t>
      </w:r>
    </w:p>
    <w:p w:rsidR="00E07D0A" w:rsidRDefault="00E07D0A" w:rsidP="00E07D0A">
      <w:pPr>
        <w:rPr>
          <w:rtl/>
        </w:rPr>
      </w:pPr>
      <w:r>
        <w:rPr>
          <w:rFonts w:hint="cs"/>
          <w:rtl/>
        </w:rPr>
        <w:lastRenderedPageBreak/>
        <w:t xml:space="preserve">- إن المدرسة الفرنسية تتسم بالتعالي، إذ </w:t>
      </w:r>
      <w:r>
        <w:rPr>
          <w:rtl/>
        </w:rPr>
        <w:t>«</w:t>
      </w:r>
      <w:r>
        <w:rPr>
          <w:rFonts w:hint="cs"/>
          <w:rtl/>
        </w:rPr>
        <w:t>خدمت دراسات الـتأثير نزعة "المركزية الأوروبية" وهي نزعة متعالية توسعية، شكلت مكونا هاما من مكونات العقلية الاستعمارية الأوروبية، وما زالت إلى اليوم تخدم مساعي الهيمنة الثقافية الأوروبية، لقد عززت دراسات التأثير نزعة المركزية والتفوق لدى الفرنسيّين والأوروبيّين على حد سواء</w:t>
      </w:r>
      <w:r>
        <w:rPr>
          <w:rtl/>
        </w:rPr>
        <w:t>»</w:t>
      </w:r>
      <w:r>
        <w:rPr>
          <w:rStyle w:val="Appelnotedebasdep"/>
          <w:rtl/>
        </w:rPr>
        <w:footnoteReference w:customMarkFollows="1" w:id="15"/>
        <w:t>3</w:t>
      </w:r>
      <w:r>
        <w:rPr>
          <w:rFonts w:hint="cs"/>
          <w:rtl/>
        </w:rPr>
        <w:t>.</w:t>
      </w:r>
    </w:p>
    <w:p w:rsidR="00E07D0A" w:rsidRDefault="00E07D0A" w:rsidP="00E07D0A">
      <w:pPr>
        <w:rPr>
          <w:rtl/>
        </w:rPr>
      </w:pPr>
      <w:r>
        <w:rPr>
          <w:rFonts w:hint="cs"/>
          <w:rtl/>
        </w:rPr>
        <w:t>ولعل كلّ هذه النقائص والانتقادات الموّجهة للمدرسة الفرنسيّة هو الذي أدى إلى ظهور مدارس أخرى، من بينها المدرسة الأمريكيّة.</w:t>
      </w:r>
    </w:p>
    <w:p w:rsidR="00E07D0A" w:rsidRPr="005703A8" w:rsidRDefault="00E07D0A" w:rsidP="00E07D0A">
      <w:pPr>
        <w:jc w:val="center"/>
        <w:rPr>
          <w:b/>
          <w:bCs/>
          <w:rtl/>
        </w:rPr>
      </w:pPr>
      <w:r>
        <w:rPr>
          <w:rFonts w:hint="cs"/>
          <w:b/>
          <w:bCs/>
          <w:rtl/>
        </w:rPr>
        <w:t xml:space="preserve">4- </w:t>
      </w:r>
      <w:r w:rsidRPr="005703A8">
        <w:rPr>
          <w:rFonts w:hint="cs"/>
          <w:b/>
          <w:bCs/>
          <w:rtl/>
        </w:rPr>
        <w:t>مدارس الأدب المقارن: المدرسة الأمريكي</w:t>
      </w:r>
      <w:r>
        <w:rPr>
          <w:rFonts w:hint="cs"/>
          <w:b/>
          <w:bCs/>
          <w:rtl/>
        </w:rPr>
        <w:t>ّ</w:t>
      </w:r>
      <w:r w:rsidRPr="005703A8">
        <w:rPr>
          <w:rFonts w:hint="cs"/>
          <w:b/>
          <w:bCs/>
          <w:rtl/>
        </w:rPr>
        <w:t>ة</w:t>
      </w:r>
    </w:p>
    <w:p w:rsidR="00E07D0A" w:rsidRDefault="00E07D0A" w:rsidP="00E07D0A">
      <w:pPr>
        <w:rPr>
          <w:rtl/>
        </w:rPr>
      </w:pPr>
      <w:r>
        <w:rPr>
          <w:rFonts w:hint="cs"/>
          <w:rtl/>
        </w:rPr>
        <w:t>تعود البداية الفعلية للمدرسة الأمريكية إلى سنة 1958، حين ألقى الناقد الأمريكي "رينيه ويليك" محاضرته المعنونة "أزمة الأدب المقارن" في المؤتمر الثاني للرابطة العالمية للأدب المقارن، الذي أُنعقد بجامعة "تشابل هيل" الأمريكيّة، وقد انتقد فيها بشدّة المدرسة الفرنسيّة من خلال:</w:t>
      </w:r>
    </w:p>
    <w:p w:rsidR="00E07D0A" w:rsidRDefault="00E07D0A" w:rsidP="00E07D0A">
      <w:pPr>
        <w:rPr>
          <w:rtl/>
        </w:rPr>
      </w:pPr>
      <w:r w:rsidRPr="00305097">
        <w:rPr>
          <w:rFonts w:hint="cs"/>
          <w:b/>
          <w:bCs/>
          <w:rtl/>
        </w:rPr>
        <w:t>أ</w:t>
      </w:r>
      <w:r>
        <w:rPr>
          <w:rFonts w:hint="cs"/>
          <w:rtl/>
        </w:rPr>
        <w:t>- افتقادها إلى تحديد موضوع الأدب المقارن ومناهجه؛</w:t>
      </w:r>
    </w:p>
    <w:p w:rsidR="00E07D0A" w:rsidRDefault="00E07D0A" w:rsidP="00E07D0A">
      <w:pPr>
        <w:rPr>
          <w:rtl/>
        </w:rPr>
      </w:pPr>
      <w:r w:rsidRPr="00305097">
        <w:rPr>
          <w:rFonts w:hint="cs"/>
          <w:b/>
          <w:bCs/>
          <w:rtl/>
        </w:rPr>
        <w:t>ب</w:t>
      </w:r>
      <w:r>
        <w:rPr>
          <w:rFonts w:hint="cs"/>
          <w:rtl/>
        </w:rPr>
        <w:t>-  تغليب العناصر القومية على العمل الأدبي في الدراسة؛</w:t>
      </w:r>
    </w:p>
    <w:p w:rsidR="00E07D0A" w:rsidRDefault="00E07D0A" w:rsidP="00E07D0A">
      <w:pPr>
        <w:rPr>
          <w:rtl/>
        </w:rPr>
      </w:pPr>
      <w:r w:rsidRPr="00305097">
        <w:rPr>
          <w:rFonts w:hint="cs"/>
          <w:b/>
          <w:bCs/>
          <w:rtl/>
        </w:rPr>
        <w:t>ج</w:t>
      </w:r>
      <w:r>
        <w:rPr>
          <w:rFonts w:hint="cs"/>
          <w:rtl/>
        </w:rPr>
        <w:t>- المبالغة في إثبات مظاهر التأثر والتأثير.</w:t>
      </w:r>
    </w:p>
    <w:p w:rsidR="00E07D0A" w:rsidRDefault="00E07D0A" w:rsidP="00E07D0A">
      <w:pPr>
        <w:rPr>
          <w:rtl/>
        </w:rPr>
      </w:pPr>
      <w:r>
        <w:rPr>
          <w:rFonts w:hint="cs"/>
          <w:rtl/>
        </w:rPr>
        <w:t>تبنى دعوته هذه المقارنون الأمريكيون، فشكلوا المدرسة الأمريكية، التي تهدف إلى دراسة الظاهرة الأدبية في شموليتها دون مراعاة للحواجز السياسية واللسانية...</w:t>
      </w:r>
      <w:r>
        <w:rPr>
          <w:rStyle w:val="Appelnotedebasdep"/>
          <w:rtl/>
        </w:rPr>
        <w:footnoteReference w:customMarkFollows="1" w:id="16"/>
        <w:t>1</w:t>
      </w:r>
      <w:r>
        <w:rPr>
          <w:rFonts w:hint="cs"/>
          <w:rtl/>
        </w:rPr>
        <w:t xml:space="preserve">. فالشيء الذي ميّز المنظور الأمريكي عن المنظور الفرنسي هو عزل الدّراسات المقارنة عن السياسة. </w:t>
      </w:r>
    </w:p>
    <w:p w:rsidR="00E07D0A" w:rsidRDefault="00E07D0A" w:rsidP="00E07D0A">
      <w:pPr>
        <w:rPr>
          <w:rtl/>
        </w:rPr>
      </w:pPr>
      <w:r>
        <w:rPr>
          <w:rFonts w:hint="cs"/>
          <w:rtl/>
        </w:rPr>
        <w:t xml:space="preserve">وقد تأسست المدرسة الأمريكيّة على مبدأين: المبدأ الأخلاقي الذي يقوم على اعتبارات تاريخيّة تحيل إلى حداثة الحضارة الأمريكية التي هي مزيج من الجنسيات والثقافات الأوروبية، هذا ما دفعها إلى الانفتاح عن العالم، ومن ثم احترام الانجازات الأدبيّة </w:t>
      </w:r>
      <w:r>
        <w:rPr>
          <w:rFonts w:hint="cs"/>
          <w:rtl/>
        </w:rPr>
        <w:lastRenderedPageBreak/>
        <w:t>الأجنبيّة. والمبدأ الثاني هو المبدأ الثقافي الذي يتمثّل في بحث المدرسة الأمريكيّة عن هوية ثقافية ذات طابع منهجي ومعرفي يدور في حلقة القرن العشرين متخلصة من وضعية وتاريخية القرن التاسع عشر</w:t>
      </w:r>
      <w:r>
        <w:rPr>
          <w:rStyle w:val="Appelnotedebasdep"/>
          <w:rtl/>
        </w:rPr>
        <w:footnoteReference w:customMarkFollows="1" w:id="17"/>
        <w:t>2</w:t>
      </w:r>
      <w:r>
        <w:rPr>
          <w:rFonts w:hint="cs"/>
          <w:rtl/>
        </w:rPr>
        <w:t>.</w:t>
      </w:r>
    </w:p>
    <w:p w:rsidR="00E07D0A" w:rsidRDefault="00E07D0A" w:rsidP="00E07D0A">
      <w:pPr>
        <w:rPr>
          <w:rtl/>
        </w:rPr>
      </w:pPr>
      <w:r>
        <w:rPr>
          <w:rFonts w:hint="cs"/>
          <w:rtl/>
        </w:rPr>
        <w:t>ومن أبرز رواد المنهج الأمريكي بعد "رينيه ويليك" نجد "هنري ريماك" و"هاري ليفين" و"جون فليتشر" و"أولريش فايسشتاين"... وقد عرف لنا الرائد "هنري ريماك" الأدب المقارن، فقال بأنه دراسة الأدب فيما وراء حدود بلد معين، ودراسة العلاقات بين الآداب والمجالات الأخرى للمعرفة والاعتقاد كالفنون (الرسم والنحت والمعمار والموسيقى مثلا) والفلسفة والتاريخ والعلوم الاجتماعية (السياسة والاقتصاد والاجتماع والعلوم بأنواعها والديانات) باختصار هو مقارنة أدب بأدب آخر أو آداب أخرى، ومقارنة الأدب بمجالات التعبير الإنساني الأخرى</w:t>
      </w:r>
      <w:r>
        <w:rPr>
          <w:rStyle w:val="Appelnotedebasdep"/>
          <w:rtl/>
        </w:rPr>
        <w:footnoteReference w:customMarkFollows="1" w:id="18"/>
        <w:t>1</w:t>
      </w:r>
      <w:r>
        <w:rPr>
          <w:rFonts w:hint="cs"/>
          <w:rtl/>
        </w:rPr>
        <w:t xml:space="preserve">. أي ربط الأدب بمختلف الفنون والعلوم </w:t>
      </w:r>
      <w:r>
        <w:rPr>
          <w:rtl/>
        </w:rPr>
        <w:t>«</w:t>
      </w:r>
      <w:r>
        <w:rPr>
          <w:rFonts w:hint="cs"/>
          <w:rtl/>
        </w:rPr>
        <w:t xml:space="preserve">معتمدة في ذلك على المزاوجة بين الأدبي والفني، وهي مزاوجة كثيرا    ما تفترض تداخلا للاختصاصات والثقافات، بل ومعالجة لا تميز بين الأدبي والموسيقى/ الغنائي والشعري/ الماتحت </w:t>
      </w:r>
      <w:r>
        <w:rPr>
          <w:rtl/>
        </w:rPr>
        <w:t>–</w:t>
      </w:r>
      <w:r>
        <w:rPr>
          <w:rFonts w:hint="cs"/>
          <w:rtl/>
        </w:rPr>
        <w:t xml:space="preserve"> أدبي والأدبي، في تحطيم مستمر للحواجز التي تفصل عادة بين اللغوي والتشكيلي، بين العلاقات التاريخية الأكيدة والعلاقات الغائبة عن الأعمال والنصوص، مادام الهدف الأساسي ليس هو إثبات التأثير والتأثر، بقدر ما هو بلوغ البنية الجمالية والتشكيلية للنصر المقارن</w:t>
      </w:r>
      <w:r>
        <w:rPr>
          <w:rtl/>
        </w:rPr>
        <w:t>»</w:t>
      </w:r>
      <w:r>
        <w:rPr>
          <w:rStyle w:val="Appelnotedebasdep"/>
          <w:rtl/>
        </w:rPr>
        <w:footnoteReference w:customMarkFollows="1" w:id="19"/>
        <w:t>2</w:t>
      </w:r>
      <w:r>
        <w:rPr>
          <w:rFonts w:hint="cs"/>
          <w:rtl/>
        </w:rPr>
        <w:t xml:space="preserve">. بهذا أصبح </w:t>
      </w:r>
      <w:r>
        <w:rPr>
          <w:rtl/>
        </w:rPr>
        <w:t>«</w:t>
      </w:r>
      <w:r>
        <w:rPr>
          <w:rFonts w:hint="cs"/>
          <w:rtl/>
        </w:rPr>
        <w:t>الأدب المقارن بمفهومه النقدي الذي يعرف بالمدرسة الأمريكية ذلك المفهوم الذي يدرس الأدب المقارن بموجبه الظواهر الأدبية في جوهرها الجمالي بصورة تتجاوز الحدود اللغوية والقومية للآداب من جهة، ويقارن الأدب بالفنون ومجالات الوعي الإنساني الأخرى من جهة ثانية</w:t>
      </w:r>
      <w:r>
        <w:rPr>
          <w:rtl/>
        </w:rPr>
        <w:t>»</w:t>
      </w:r>
      <w:r>
        <w:rPr>
          <w:rStyle w:val="Appelnotedebasdep"/>
          <w:rtl/>
        </w:rPr>
        <w:footnoteReference w:customMarkFollows="1" w:id="20"/>
        <w:t>3</w:t>
      </w:r>
      <w:r>
        <w:rPr>
          <w:rFonts w:hint="cs"/>
          <w:rtl/>
        </w:rPr>
        <w:t>.</w:t>
      </w:r>
      <w:r w:rsidRPr="005C27D7">
        <w:rPr>
          <w:rFonts w:hint="cs"/>
          <w:rtl/>
        </w:rPr>
        <w:t xml:space="preserve"> فالأدب المقارن إذن هو الذي يدرس جمالية الأدب، ويقارن بين الأدب ومختلف الفنون والعلوم.</w:t>
      </w:r>
      <w:r w:rsidRPr="005C27D7">
        <w:rPr>
          <w:rtl/>
        </w:rPr>
        <w:t xml:space="preserve"> </w:t>
      </w:r>
      <w:r>
        <w:rPr>
          <w:rFonts w:hint="cs"/>
          <w:rtl/>
        </w:rPr>
        <w:t xml:space="preserve">وهذا ما أكده دانييل، يقول </w:t>
      </w:r>
      <w:r>
        <w:rPr>
          <w:rtl/>
        </w:rPr>
        <w:t>«</w:t>
      </w:r>
      <w:r>
        <w:rPr>
          <w:rFonts w:hint="cs"/>
          <w:rtl/>
        </w:rPr>
        <w:t xml:space="preserve">الأدب المقارن هو الفن المنهجي الذي يبحث في علاقات التشابه والتقارب والتأثير، وتقريب الأدب </w:t>
      </w:r>
      <w:r>
        <w:rPr>
          <w:rFonts w:hint="cs"/>
          <w:rtl/>
        </w:rPr>
        <w:lastRenderedPageBreak/>
        <w:t>من مجالات التعبير والمعرفة الأخرى... مثلا يقرب نصا أدبيا من اقتباس سينمائي أو لوحة أو قطعة موسيقية، أو عندما يقارن بين الأدب والتاريخ والأدب والتحليل النفسي</w:t>
      </w:r>
      <w:r>
        <w:rPr>
          <w:rtl/>
        </w:rPr>
        <w:t>»</w:t>
      </w:r>
      <w:r>
        <w:rPr>
          <w:rStyle w:val="Appelnotedebasdep"/>
          <w:rtl/>
        </w:rPr>
        <w:footnoteReference w:customMarkFollows="1" w:id="21"/>
        <w:t>4</w:t>
      </w:r>
      <w:r>
        <w:rPr>
          <w:rFonts w:hint="cs"/>
          <w:rtl/>
        </w:rPr>
        <w:t>.</w:t>
      </w:r>
    </w:p>
    <w:p w:rsidR="00E07D0A" w:rsidRDefault="00E07D0A" w:rsidP="00E07D0A">
      <w:pPr>
        <w:rPr>
          <w:rtl/>
        </w:rPr>
      </w:pPr>
      <w:r>
        <w:rPr>
          <w:rFonts w:hint="cs"/>
          <w:rtl/>
        </w:rPr>
        <w:t xml:space="preserve">وتكمن جمالية الأدب في الظواهر الفنية الداخلية للنص الأدبي، إذ </w:t>
      </w:r>
      <w:r>
        <w:rPr>
          <w:rtl/>
        </w:rPr>
        <w:t>«</w:t>
      </w:r>
      <w:r>
        <w:rPr>
          <w:rFonts w:hint="cs"/>
          <w:rtl/>
        </w:rPr>
        <w:t xml:space="preserve">تنبع جمالية المنهج الأمريكي من تركيزه على "داخل الأدب" أي شبكة العلاقات الداخلية في النصوص، وهو ما يعرف عندهم وفي مناهج النقد الحديث الشكلانية </w:t>
      </w:r>
      <w:r>
        <w:rPr>
          <w:rtl/>
        </w:rPr>
        <w:t>ﺑ</w:t>
      </w:r>
      <w:r>
        <w:rPr>
          <w:rFonts w:hint="cs"/>
          <w:rtl/>
        </w:rPr>
        <w:t xml:space="preserve"> "أدبية الأدب" بعيدا عن العوامل الخارجية</w:t>
      </w:r>
      <w:r>
        <w:rPr>
          <w:rtl/>
        </w:rPr>
        <w:t>»</w:t>
      </w:r>
      <w:r>
        <w:rPr>
          <w:rStyle w:val="Appelnotedebasdep"/>
          <w:rtl/>
        </w:rPr>
        <w:footnoteReference w:customMarkFollows="1" w:id="22"/>
        <w:t>5</w:t>
      </w:r>
      <w:r>
        <w:rPr>
          <w:rFonts w:hint="cs"/>
          <w:rtl/>
        </w:rPr>
        <w:t xml:space="preserve"> فالمدرسة الأمريكية تهتم إذن بالعناصر الداخليّة الجوهرية للعمل الأدبيّ المتمثّلة في بنيته الفنيّة والجماليّة، أي أنها تنطلق من داخل النص الإبداعيّ، لذلك سُميت هذه المدرسة </w:t>
      </w:r>
      <w:r>
        <w:rPr>
          <w:rtl/>
        </w:rPr>
        <w:t>ﺑ</w:t>
      </w:r>
      <w:r>
        <w:rPr>
          <w:rFonts w:hint="cs"/>
          <w:rtl/>
        </w:rPr>
        <w:t xml:space="preserve"> "مدرسة النصيب" أو "المدرسة الفنيّة". وبناء عل ذلك فقد </w:t>
      </w:r>
      <w:r>
        <w:rPr>
          <w:rtl/>
        </w:rPr>
        <w:t>«</w:t>
      </w:r>
      <w:r>
        <w:rPr>
          <w:rFonts w:hint="cs"/>
          <w:rtl/>
        </w:rPr>
        <w:t>رفض رينيه ويليك المنهج الفرنسي التقليدي في الأدب المقارن، ودعا إلى منهج يتعامل مع جوهر الأدب، أي إلى منهج نقدي في الأدب المقارن. إنه منهج بات يعرف "بالمدرسة الأمريكية أو "المدرسة النقدية"</w:t>
      </w:r>
      <w:r>
        <w:rPr>
          <w:rtl/>
        </w:rPr>
        <w:t>»</w:t>
      </w:r>
      <w:r>
        <w:rPr>
          <w:rStyle w:val="Appelnotedebasdep"/>
          <w:rtl/>
        </w:rPr>
        <w:footnoteReference w:customMarkFollows="1" w:id="23"/>
        <w:t>1</w:t>
      </w:r>
      <w:r>
        <w:rPr>
          <w:rFonts w:hint="cs"/>
          <w:rtl/>
        </w:rPr>
        <w:t xml:space="preserve"> لذلك سميت هذه المدرسة أيضا "بالمدرسة النقديّة" أو "النقد الجديد" لاهتمامها بالنقد.</w:t>
      </w:r>
    </w:p>
    <w:p w:rsidR="00E07D0A" w:rsidRDefault="00E07D0A" w:rsidP="00E07D0A">
      <w:pPr>
        <w:rPr>
          <w:rtl/>
        </w:rPr>
      </w:pPr>
      <w:r>
        <w:rPr>
          <w:rFonts w:hint="cs"/>
          <w:rtl/>
        </w:rPr>
        <w:t xml:space="preserve">وقد تساءل عبده عبّود، فقال: ألا يؤدي ذلك إلى إذابة الأدب المقارن في النقد الأدبي؟ يجيب فيقول: </w:t>
      </w:r>
      <w:r>
        <w:rPr>
          <w:rtl/>
        </w:rPr>
        <w:t>«</w:t>
      </w:r>
      <w:r>
        <w:rPr>
          <w:rFonts w:hint="cs"/>
          <w:rtl/>
        </w:rPr>
        <w:t>فالنقد الأدبي يجب أن يكون مقارنا يتجاوز الحدود اللّغوية والقوميّة للآداب، والأدب المقارن يجب أن يكون نقديا يقارب النصوص الأدبيّة كبنى جماليّة، لا كمؤثرات ووسائط. عندئذ يصبح الأدب المقارن نقدا ويصبح النقد أدبا مقارنا، وتزول تلك الحواجز المصطنعة التي أقيمت بين الأدب المقارن والنقد الأدبي</w:t>
      </w:r>
      <w:r>
        <w:rPr>
          <w:rtl/>
        </w:rPr>
        <w:t>»</w:t>
      </w:r>
      <w:r>
        <w:rPr>
          <w:rStyle w:val="Appelnotedebasdep"/>
          <w:rtl/>
        </w:rPr>
        <w:footnoteReference w:customMarkFollows="1" w:id="24"/>
        <w:t>2</w:t>
      </w:r>
      <w:r>
        <w:rPr>
          <w:rFonts w:hint="cs"/>
          <w:rtl/>
        </w:rPr>
        <w:t>.</w:t>
      </w:r>
    </w:p>
    <w:p w:rsidR="00E07D0A" w:rsidRDefault="00E07D0A" w:rsidP="00E07D0A">
      <w:pPr>
        <w:rPr>
          <w:rtl/>
        </w:rPr>
      </w:pPr>
      <w:r>
        <w:rPr>
          <w:rFonts w:hint="cs"/>
          <w:rtl/>
        </w:rPr>
        <w:t xml:space="preserve">وإذا كانت المدرسة الفرنسيّة تعتبر أن ثنائية الـتأثير والتأثر شرطا للدّراسات المقارنة، فإن المدرسة الأمريكيّة لا تعده شرطا، فهو غير أساسي عندها، لكن لا ترفضه، إذ </w:t>
      </w:r>
      <w:r>
        <w:rPr>
          <w:rtl/>
        </w:rPr>
        <w:t>«</w:t>
      </w:r>
      <w:r>
        <w:rPr>
          <w:rFonts w:hint="cs"/>
          <w:rtl/>
        </w:rPr>
        <w:t>من الخطأ فهم المدرسة الأمريكية ترفض أو تستبعد الصلات والتأثير والتأثر من اهتمامها ودراساتها، بل هي لا تشرط ذلك، وبين هذا وذاك فرق</w:t>
      </w:r>
      <w:r>
        <w:rPr>
          <w:rtl/>
        </w:rPr>
        <w:t>»</w:t>
      </w:r>
      <w:r>
        <w:rPr>
          <w:rStyle w:val="Appelnotedebasdep"/>
          <w:rtl/>
        </w:rPr>
        <w:footnoteReference w:customMarkFollows="1" w:id="25"/>
        <w:t>3</w:t>
      </w:r>
      <w:r>
        <w:rPr>
          <w:rFonts w:hint="cs"/>
          <w:rtl/>
        </w:rPr>
        <w:t>.</w:t>
      </w:r>
    </w:p>
    <w:p w:rsidR="00E07D0A" w:rsidRDefault="00E07D0A" w:rsidP="00E07D0A">
      <w:pPr>
        <w:rPr>
          <w:rtl/>
        </w:rPr>
      </w:pPr>
      <w:r>
        <w:rPr>
          <w:rFonts w:hint="cs"/>
          <w:rtl/>
        </w:rPr>
        <w:lastRenderedPageBreak/>
        <w:t>وعدم تركيز المدرسة الأمريكيّة على ثنائية التأثير والتأثر في الدّراسات الأدبيّة المقارنة، دفعها إلى الاهتمام بمجالات أخرى، كاهتمامها بنظرية "التوازي" أو "التشابه" أو "القرابة" "</w:t>
      </w:r>
      <w:r w:rsidRPr="006F1F3F">
        <w:rPr>
          <w:rFonts w:asciiTheme="majorBidi" w:hAnsiTheme="majorBidi" w:cstheme="majorBidi"/>
        </w:rPr>
        <w:t>Paralellism</w:t>
      </w:r>
      <w:r>
        <w:rPr>
          <w:rFonts w:hint="cs"/>
          <w:rtl/>
        </w:rPr>
        <w:t xml:space="preserve"> " ويقصد به الكشف عن وجود التماثل في البيئة أو الفكرة أو المزاج أو الأسلوب بين أعمال مختلفة لا يربط بينهما أي رابط من حيث الصلات التاريخيّة أو علاقات التأثر والتأثير، أي دراسة نصين أدبيّين متشابهين دون أن تكون بينهما أية علاقة فعليّة سالبة كانت أم موجبة</w:t>
      </w:r>
      <w:r>
        <w:rPr>
          <w:rStyle w:val="Appelnotedebasdep"/>
          <w:rtl/>
        </w:rPr>
        <w:footnoteReference w:customMarkFollows="1" w:id="26"/>
        <w:t>4</w:t>
      </w:r>
      <w:r>
        <w:rPr>
          <w:rFonts w:hint="cs"/>
          <w:rtl/>
        </w:rPr>
        <w:t xml:space="preserve"> أي أن تشابه الظروف المحيطة بالكتاب والأدباء يؤدي إلى تشابه إبداعهم الأدبي...</w:t>
      </w:r>
    </w:p>
    <w:p w:rsidR="00E07D0A" w:rsidRDefault="00E07D0A" w:rsidP="00E07D0A">
      <w:pPr>
        <w:rPr>
          <w:rtl/>
        </w:rPr>
      </w:pPr>
      <w:r>
        <w:rPr>
          <w:rFonts w:hint="cs"/>
          <w:rtl/>
        </w:rPr>
        <w:t>ويمكن إرجاع "التوازي" إلى العوامل التاليّة</w:t>
      </w:r>
      <w:r>
        <w:rPr>
          <w:rStyle w:val="Appelnotedebasdep"/>
          <w:rtl/>
        </w:rPr>
        <w:footnoteReference w:customMarkFollows="1" w:id="27"/>
        <w:t>5</w:t>
      </w:r>
      <w:r>
        <w:rPr>
          <w:rFonts w:hint="cs"/>
          <w:rtl/>
        </w:rPr>
        <w:t>:</w:t>
      </w:r>
    </w:p>
    <w:p w:rsidR="00E07D0A" w:rsidRDefault="00E07D0A" w:rsidP="00E07D0A">
      <w:pPr>
        <w:rPr>
          <w:rtl/>
        </w:rPr>
      </w:pPr>
      <w:r w:rsidRPr="0057600E">
        <w:rPr>
          <w:rFonts w:hint="cs"/>
          <w:b/>
          <w:bCs/>
          <w:rtl/>
        </w:rPr>
        <w:t>1- العامل الاجتماعي</w:t>
      </w:r>
      <w:r>
        <w:rPr>
          <w:rFonts w:hint="cs"/>
          <w:b/>
          <w:bCs/>
          <w:rtl/>
        </w:rPr>
        <w:t>ّ:</w:t>
      </w:r>
      <w:r>
        <w:rPr>
          <w:rFonts w:hint="cs"/>
          <w:rtl/>
        </w:rPr>
        <w:t xml:space="preserve"> كأن يصل مجتمعان من المجتمعات إلى مرحلة متماثلة من التطور، أو أن يواجه مشكلات متماثلة.</w:t>
      </w:r>
    </w:p>
    <w:p w:rsidR="00E07D0A" w:rsidRDefault="00E07D0A" w:rsidP="00E07D0A">
      <w:pPr>
        <w:rPr>
          <w:rtl/>
        </w:rPr>
      </w:pPr>
      <w:r w:rsidRPr="0057600E">
        <w:rPr>
          <w:rFonts w:hint="cs"/>
          <w:b/>
          <w:bCs/>
          <w:rtl/>
        </w:rPr>
        <w:t>2-</w:t>
      </w:r>
      <w:r>
        <w:rPr>
          <w:rFonts w:hint="cs"/>
          <w:rtl/>
        </w:rPr>
        <w:t xml:space="preserve"> </w:t>
      </w:r>
      <w:r w:rsidRPr="00A06448">
        <w:rPr>
          <w:rFonts w:hint="cs"/>
          <w:b/>
          <w:bCs/>
          <w:rtl/>
        </w:rPr>
        <w:t>العامل الأدبي</w:t>
      </w:r>
      <w:r>
        <w:rPr>
          <w:rFonts w:hint="cs"/>
          <w:b/>
          <w:bCs/>
          <w:rtl/>
        </w:rPr>
        <w:t>ّ</w:t>
      </w:r>
      <w:r>
        <w:rPr>
          <w:rFonts w:hint="cs"/>
          <w:rtl/>
        </w:rPr>
        <w:t xml:space="preserve">: فقد ينمو في مجتمعين </w:t>
      </w:r>
      <w:r>
        <w:rPr>
          <w:rtl/>
        </w:rPr>
        <w:t>–</w:t>
      </w:r>
      <w:r>
        <w:rPr>
          <w:rFonts w:hint="cs"/>
          <w:rtl/>
        </w:rPr>
        <w:t xml:space="preserve"> أو أكثر- في إحدى مراحل التطور جنس أدبيّ معين نموا تلقائيا يؤدي إلى تطور مماثل لنماذج أجنبيّة.</w:t>
      </w:r>
    </w:p>
    <w:p w:rsidR="00E07D0A" w:rsidRDefault="00E07D0A" w:rsidP="00E07D0A">
      <w:pPr>
        <w:ind w:left="708" w:firstLine="0"/>
        <w:rPr>
          <w:rtl/>
        </w:rPr>
      </w:pPr>
      <w:r>
        <w:rPr>
          <w:rFonts w:hint="cs"/>
          <w:b/>
          <w:bCs/>
          <w:rtl/>
        </w:rPr>
        <w:t xml:space="preserve">3- </w:t>
      </w:r>
      <w:r w:rsidRPr="00B47528">
        <w:rPr>
          <w:rFonts w:hint="cs"/>
          <w:b/>
          <w:bCs/>
          <w:rtl/>
        </w:rPr>
        <w:t>العامل النفسي</w:t>
      </w:r>
      <w:r>
        <w:rPr>
          <w:rFonts w:hint="cs"/>
          <w:b/>
          <w:bCs/>
          <w:rtl/>
        </w:rPr>
        <w:t>ّ</w:t>
      </w:r>
      <w:r>
        <w:rPr>
          <w:rFonts w:hint="cs"/>
          <w:rtl/>
        </w:rPr>
        <w:t xml:space="preserve">: فالعقل الإنسانيّ له أشكال استجابة مشتركة للتجربة المشتركة، ويدخل في هذا ما قد يكون لمؤلفين أو أكثر من سجايا وسمات متماثلة.  </w:t>
      </w:r>
    </w:p>
    <w:p w:rsidR="00E07D0A" w:rsidRDefault="00E07D0A" w:rsidP="00E07D0A">
      <w:pPr>
        <w:rPr>
          <w:rtl/>
        </w:rPr>
      </w:pPr>
      <w:r>
        <w:rPr>
          <w:rFonts w:hint="cs"/>
          <w:rtl/>
        </w:rPr>
        <w:t xml:space="preserve">ومن </w:t>
      </w:r>
      <w:r w:rsidRPr="00B70705">
        <w:rPr>
          <w:rFonts w:hint="cs"/>
          <w:b/>
          <w:bCs/>
          <w:rtl/>
        </w:rPr>
        <w:t>سمات المدرسة الأمريكي</w:t>
      </w:r>
      <w:r>
        <w:rPr>
          <w:rFonts w:hint="cs"/>
          <w:b/>
          <w:bCs/>
          <w:rtl/>
        </w:rPr>
        <w:t>ّ</w:t>
      </w:r>
      <w:r w:rsidRPr="00B70705">
        <w:rPr>
          <w:rFonts w:hint="cs"/>
          <w:b/>
          <w:bCs/>
          <w:rtl/>
        </w:rPr>
        <w:t>ة</w:t>
      </w:r>
      <w:r>
        <w:rPr>
          <w:rFonts w:hint="cs"/>
          <w:rtl/>
        </w:rPr>
        <w:t xml:space="preserve"> نجد</w:t>
      </w:r>
      <w:r>
        <w:rPr>
          <w:rStyle w:val="Appelnotedebasdep"/>
          <w:rtl/>
        </w:rPr>
        <w:footnoteReference w:customMarkFollows="1" w:id="28"/>
        <w:t>1</w:t>
      </w:r>
      <w:r>
        <w:rPr>
          <w:rFonts w:hint="cs"/>
          <w:rtl/>
        </w:rPr>
        <w:t>:</w:t>
      </w:r>
    </w:p>
    <w:p w:rsidR="00E07D0A" w:rsidRPr="008F03DA" w:rsidRDefault="00E07D0A" w:rsidP="00E07D0A">
      <w:pPr>
        <w:rPr>
          <w:sz w:val="28"/>
          <w:szCs w:val="28"/>
          <w:rtl/>
        </w:rPr>
      </w:pPr>
      <w:r w:rsidRPr="008F03DA">
        <w:rPr>
          <w:rFonts w:hint="cs"/>
          <w:b/>
          <w:bCs/>
          <w:sz w:val="28"/>
          <w:szCs w:val="28"/>
          <w:rtl/>
        </w:rPr>
        <w:t>أ</w:t>
      </w:r>
      <w:r w:rsidRPr="008F03DA">
        <w:rPr>
          <w:rFonts w:hint="cs"/>
          <w:sz w:val="28"/>
          <w:szCs w:val="28"/>
          <w:rtl/>
        </w:rPr>
        <w:t>- تفادي المآخذ التي أخذت على المنهج الفرنسي كما تجلت في مقال "ويليك" (أزمة الأدب المقارن)؛</w:t>
      </w:r>
    </w:p>
    <w:p w:rsidR="00E07D0A" w:rsidRPr="008F03DA" w:rsidRDefault="00E07D0A" w:rsidP="00E07D0A">
      <w:pPr>
        <w:rPr>
          <w:sz w:val="28"/>
          <w:szCs w:val="28"/>
          <w:rtl/>
        </w:rPr>
      </w:pPr>
      <w:r w:rsidRPr="008F03DA">
        <w:rPr>
          <w:rFonts w:hint="cs"/>
          <w:b/>
          <w:bCs/>
          <w:sz w:val="28"/>
          <w:szCs w:val="28"/>
          <w:rtl/>
        </w:rPr>
        <w:t>ب</w:t>
      </w:r>
      <w:r w:rsidRPr="008F03DA">
        <w:rPr>
          <w:rFonts w:hint="cs"/>
          <w:sz w:val="28"/>
          <w:szCs w:val="28"/>
          <w:rtl/>
        </w:rPr>
        <w:t xml:space="preserve">- توسيع مجال الأدب المقارن بتقديم مفهوم أوسع للعلاقات الأدبية ومدّ آفاق المقارنة لتشمل العلاقة بين الأدب وأنماط التعبير الإنساني الأخرى؛ </w:t>
      </w:r>
    </w:p>
    <w:p w:rsidR="00E07D0A" w:rsidRPr="008F03DA" w:rsidRDefault="00E07D0A" w:rsidP="00E07D0A">
      <w:pPr>
        <w:rPr>
          <w:sz w:val="28"/>
          <w:szCs w:val="28"/>
          <w:rtl/>
        </w:rPr>
      </w:pPr>
      <w:r w:rsidRPr="008F03DA">
        <w:rPr>
          <w:rFonts w:hint="cs"/>
          <w:b/>
          <w:bCs/>
          <w:sz w:val="28"/>
          <w:szCs w:val="28"/>
          <w:rtl/>
        </w:rPr>
        <w:t>ج</w:t>
      </w:r>
      <w:r w:rsidRPr="008F03DA">
        <w:rPr>
          <w:rFonts w:hint="cs"/>
          <w:sz w:val="28"/>
          <w:szCs w:val="28"/>
          <w:rtl/>
        </w:rPr>
        <w:t>- ملاحقة العلاقات المتشابهة بين الآداب المختلفة وفقا لمفهوم "التوازي" أو "التشابه" أو "القرابة".</w:t>
      </w:r>
    </w:p>
    <w:p w:rsidR="00E07D0A" w:rsidRDefault="00E07D0A" w:rsidP="00E07D0A">
      <w:pPr>
        <w:rPr>
          <w:rtl/>
        </w:rPr>
      </w:pPr>
      <w:r>
        <w:rPr>
          <w:rFonts w:hint="cs"/>
          <w:rtl/>
        </w:rPr>
        <w:lastRenderedPageBreak/>
        <w:t xml:space="preserve">ومن </w:t>
      </w:r>
      <w:r w:rsidRPr="007766F9">
        <w:rPr>
          <w:rFonts w:hint="cs"/>
          <w:b/>
          <w:bCs/>
          <w:rtl/>
        </w:rPr>
        <w:t>مآخذ المدرسة الأمريكية</w:t>
      </w:r>
      <w:r w:rsidRPr="007766F9">
        <w:rPr>
          <w:rStyle w:val="Appelnotedebasdep"/>
          <w:rtl/>
        </w:rPr>
        <w:footnoteReference w:customMarkFollows="1" w:id="29"/>
        <w:t>2</w:t>
      </w:r>
      <w:r>
        <w:rPr>
          <w:rFonts w:hint="cs"/>
          <w:rtl/>
        </w:rPr>
        <w:t>:</w:t>
      </w:r>
    </w:p>
    <w:p w:rsidR="00E07D0A" w:rsidRDefault="00E07D0A" w:rsidP="00E07D0A">
      <w:pPr>
        <w:rPr>
          <w:rtl/>
        </w:rPr>
      </w:pPr>
      <w:r w:rsidRPr="00687DDF">
        <w:rPr>
          <w:rFonts w:hint="cs"/>
          <w:b/>
          <w:bCs/>
          <w:rtl/>
        </w:rPr>
        <w:t>أ</w:t>
      </w:r>
      <w:r>
        <w:rPr>
          <w:rFonts w:hint="cs"/>
          <w:rtl/>
        </w:rPr>
        <w:t xml:space="preserve">-عدم </w:t>
      </w:r>
      <w:r w:rsidRPr="005C27D7">
        <w:rPr>
          <w:rFonts w:hint="cs"/>
          <w:sz w:val="28"/>
          <w:szCs w:val="28"/>
          <w:rtl/>
        </w:rPr>
        <w:t>التميّيز بين الأدب المقارن والأدب العام</w:t>
      </w:r>
      <w:r>
        <w:rPr>
          <w:rFonts w:hint="cs"/>
          <w:rtl/>
        </w:rPr>
        <w:t>، نتيجة ارتباط الاثنين بموضوع واحد "الأدب"؛</w:t>
      </w:r>
    </w:p>
    <w:p w:rsidR="00E07D0A" w:rsidRDefault="00E07D0A" w:rsidP="00E07D0A">
      <w:pPr>
        <w:rPr>
          <w:rtl/>
        </w:rPr>
      </w:pPr>
      <w:r w:rsidRPr="00687DDF">
        <w:rPr>
          <w:rFonts w:hint="cs"/>
          <w:b/>
          <w:bCs/>
          <w:rtl/>
        </w:rPr>
        <w:t>ب</w:t>
      </w:r>
      <w:r>
        <w:rPr>
          <w:rFonts w:hint="cs"/>
          <w:rtl/>
        </w:rPr>
        <w:t>- تنوع تعاريف المقارنين الأمريكيّين التي تتسم بالازدواجية التي تؤدي إلى مفهومين وليس مفهوم واحد، فالأدب المقارن عندهم هو المقارنة بين الآداب، وبين الآداب وغيرها من وسائل التعبير الإنساني؛</w:t>
      </w:r>
    </w:p>
    <w:p w:rsidR="00E07D0A" w:rsidRDefault="00E07D0A" w:rsidP="00E07D0A">
      <w:pPr>
        <w:rPr>
          <w:rtl/>
        </w:rPr>
      </w:pPr>
      <w:r w:rsidRPr="00687DDF">
        <w:rPr>
          <w:rFonts w:hint="cs"/>
          <w:b/>
          <w:bCs/>
          <w:rtl/>
        </w:rPr>
        <w:t>ج</w:t>
      </w:r>
      <w:r>
        <w:rPr>
          <w:rFonts w:hint="cs"/>
          <w:rtl/>
        </w:rPr>
        <w:t>- استنكاره للنزعة القومية التي اعتمدتها المدرسة الفرنسية، في حين أنهم تورطوا في تلك النزعة. أي النظرة الخاصة إلى الأدب الغربي كفضاء متميّز، فنظرتها هي نظرة استعلائية...</w:t>
      </w:r>
    </w:p>
    <w:p w:rsidR="000C5BF3" w:rsidRDefault="00E07D0A" w:rsidP="00E07D0A">
      <w:pPr>
        <w:jc w:val="center"/>
        <w:rPr>
          <w:b/>
          <w:bCs/>
          <w:rtl/>
        </w:rPr>
      </w:pPr>
      <w:r w:rsidRPr="00FD5DFF">
        <w:rPr>
          <w:rFonts w:hint="cs"/>
          <w:b/>
          <w:bCs/>
          <w:rtl/>
        </w:rPr>
        <w:t>5</w:t>
      </w: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0C5BF3" w:rsidRDefault="000C5BF3" w:rsidP="00E07D0A">
      <w:pPr>
        <w:jc w:val="center"/>
        <w:rPr>
          <w:b/>
          <w:bCs/>
          <w:rtl/>
        </w:rPr>
      </w:pPr>
    </w:p>
    <w:p w:rsidR="00E07D0A" w:rsidRDefault="00E07D0A" w:rsidP="00E07D0A">
      <w:pPr>
        <w:ind w:firstLine="0"/>
        <w:jc w:val="center"/>
        <w:rPr>
          <w:rtl/>
        </w:rPr>
      </w:pPr>
    </w:p>
    <w:p w:rsidR="00E07D0A" w:rsidRDefault="00E07D0A"/>
    <w:p w:rsidR="00E07D0A" w:rsidRDefault="00E07D0A" w:rsidP="00E07D0A"/>
    <w:p w:rsidR="00D438AE" w:rsidRPr="00E07D0A" w:rsidRDefault="00E07D0A" w:rsidP="00E07D0A">
      <w:pPr>
        <w:tabs>
          <w:tab w:val="left" w:pos="6669"/>
        </w:tabs>
      </w:pPr>
      <w:r>
        <w:rPr>
          <w:rtl/>
        </w:rPr>
        <w:tab/>
      </w:r>
    </w:p>
    <w:sectPr w:rsidR="00D438AE" w:rsidRPr="00E07D0A" w:rsidSect="0057323B">
      <w:footerReference w:type="default" r:id="rId7"/>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0AF" w:rsidRDefault="000F50AF" w:rsidP="00E07D0A">
      <w:pPr>
        <w:spacing w:after="0"/>
      </w:pPr>
      <w:r>
        <w:separator/>
      </w:r>
    </w:p>
  </w:endnote>
  <w:endnote w:type="continuationSeparator" w:id="1">
    <w:p w:rsidR="000F50AF" w:rsidRDefault="000F50AF" w:rsidP="00E07D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35732814"/>
      <w:docPartObj>
        <w:docPartGallery w:val="Page Numbers (Bottom of Page)"/>
        <w:docPartUnique/>
      </w:docPartObj>
    </w:sdtPr>
    <w:sdtContent>
      <w:p w:rsidR="00E07D0A" w:rsidRDefault="00F07AE3">
        <w:pPr>
          <w:pStyle w:val="Pieddepage"/>
          <w:jc w:val="center"/>
        </w:pPr>
        <w:fldSimple w:instr=" PAGE   \* MERGEFORMAT ">
          <w:r w:rsidR="00122877">
            <w:rPr>
              <w:noProof/>
              <w:rtl/>
            </w:rPr>
            <w:t>1</w:t>
          </w:r>
        </w:fldSimple>
      </w:p>
    </w:sdtContent>
  </w:sdt>
  <w:p w:rsidR="00E07D0A" w:rsidRDefault="00E07D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0AF" w:rsidRDefault="000F50AF" w:rsidP="00E07D0A">
      <w:pPr>
        <w:spacing w:after="0"/>
      </w:pPr>
      <w:r>
        <w:separator/>
      </w:r>
    </w:p>
  </w:footnote>
  <w:footnote w:type="continuationSeparator" w:id="1">
    <w:p w:rsidR="000F50AF" w:rsidRDefault="000F50AF" w:rsidP="00E07D0A">
      <w:pPr>
        <w:spacing w:after="0"/>
      </w:pPr>
      <w:r>
        <w:continuationSeparator/>
      </w:r>
    </w:p>
  </w:footnote>
  <w:footnote w:id="2">
    <w:p w:rsidR="00E07D0A" w:rsidRPr="00C55044" w:rsidRDefault="00E07D0A" w:rsidP="00E07D0A">
      <w:pPr>
        <w:pStyle w:val="Notedebasdepage"/>
        <w:ind w:firstLine="0"/>
        <w:rPr>
          <w:sz w:val="24"/>
          <w:szCs w:val="24"/>
        </w:rPr>
      </w:pPr>
      <w:r w:rsidRPr="00C55044">
        <w:rPr>
          <w:rStyle w:val="Appelnotedebasdep"/>
          <w:sz w:val="24"/>
          <w:szCs w:val="24"/>
          <w:rtl/>
        </w:rPr>
        <w:t>1</w:t>
      </w:r>
      <w:r w:rsidRPr="00C55044">
        <w:rPr>
          <w:rFonts w:hint="cs"/>
          <w:sz w:val="24"/>
          <w:szCs w:val="24"/>
          <w:rtl/>
        </w:rPr>
        <w:t>-</w:t>
      </w:r>
      <w:r w:rsidRPr="00C55044">
        <w:rPr>
          <w:sz w:val="24"/>
          <w:szCs w:val="24"/>
          <w:rtl/>
        </w:rPr>
        <w:t xml:space="preserve"> </w:t>
      </w:r>
      <w:r w:rsidRPr="00C55044">
        <w:rPr>
          <w:rFonts w:hint="cs"/>
          <w:sz w:val="24"/>
          <w:szCs w:val="24"/>
          <w:rtl/>
        </w:rPr>
        <w:t>ماريوس فرنسوا غويار: الأدب المقارن، ص 11.</w:t>
      </w:r>
    </w:p>
  </w:footnote>
  <w:footnote w:id="3">
    <w:p w:rsidR="00E07D0A" w:rsidRPr="00C55044" w:rsidRDefault="00E07D0A" w:rsidP="00E07D0A">
      <w:pPr>
        <w:pStyle w:val="Notedebasdepage"/>
        <w:ind w:firstLine="0"/>
        <w:rPr>
          <w:sz w:val="24"/>
          <w:szCs w:val="24"/>
          <w:rtl/>
        </w:rPr>
      </w:pPr>
      <w:r w:rsidRPr="00C55044">
        <w:rPr>
          <w:rStyle w:val="Appelnotedebasdep"/>
          <w:sz w:val="24"/>
          <w:szCs w:val="24"/>
          <w:rtl/>
        </w:rPr>
        <w:t>2</w:t>
      </w:r>
      <w:r w:rsidRPr="00C55044">
        <w:rPr>
          <w:rFonts w:hint="cs"/>
          <w:sz w:val="24"/>
          <w:szCs w:val="24"/>
          <w:rtl/>
        </w:rPr>
        <w:t>- ينظر: - سعيد علوش: مدارس الأدب المقارن- دراسة منهجية، ط1، المركز الثقافي العربي، 1987، ص55.</w:t>
      </w:r>
    </w:p>
    <w:p w:rsidR="00E07D0A" w:rsidRPr="00C55044" w:rsidRDefault="00E07D0A" w:rsidP="00E07D0A">
      <w:pPr>
        <w:pStyle w:val="Notedebasdepage"/>
        <w:ind w:firstLine="0"/>
        <w:rPr>
          <w:sz w:val="24"/>
          <w:szCs w:val="24"/>
        </w:rPr>
      </w:pPr>
      <w:r w:rsidRPr="00C55044">
        <w:rPr>
          <w:rFonts w:hint="cs"/>
          <w:sz w:val="24"/>
          <w:szCs w:val="24"/>
          <w:rtl/>
        </w:rPr>
        <w:t xml:space="preserve">          - صغور أحلام: واقع الدراسات المقارنة في المغرب العربي، إشراف: شريفي عبد الواحد، أطروحة دكتوراه، جامعة وهران السانية، الجزائر، 2008 </w:t>
      </w:r>
      <w:r w:rsidRPr="00C55044">
        <w:rPr>
          <w:sz w:val="24"/>
          <w:szCs w:val="24"/>
          <w:rtl/>
        </w:rPr>
        <w:t>–</w:t>
      </w:r>
      <w:r w:rsidRPr="00C55044">
        <w:rPr>
          <w:rFonts w:hint="cs"/>
          <w:sz w:val="24"/>
          <w:szCs w:val="24"/>
          <w:rtl/>
        </w:rPr>
        <w:t xml:space="preserve"> 2009، ص 24. </w:t>
      </w:r>
    </w:p>
  </w:footnote>
  <w:footnote w:id="4">
    <w:p w:rsidR="00E07D0A" w:rsidRPr="00C55044" w:rsidRDefault="00E07D0A" w:rsidP="00E07D0A">
      <w:pPr>
        <w:pStyle w:val="Notedebasdepage"/>
        <w:ind w:firstLine="0"/>
        <w:rPr>
          <w:sz w:val="24"/>
          <w:szCs w:val="24"/>
          <w:rtl/>
        </w:rPr>
      </w:pPr>
      <w:r w:rsidRPr="00C55044">
        <w:rPr>
          <w:rStyle w:val="Appelnotedebasdep"/>
          <w:sz w:val="24"/>
          <w:szCs w:val="24"/>
          <w:rtl/>
        </w:rPr>
        <w:t>3</w:t>
      </w:r>
      <w:r w:rsidRPr="00C55044">
        <w:rPr>
          <w:rFonts w:hint="cs"/>
          <w:sz w:val="24"/>
          <w:szCs w:val="24"/>
          <w:rtl/>
        </w:rPr>
        <w:t>-</w:t>
      </w:r>
      <w:r w:rsidRPr="00C55044">
        <w:rPr>
          <w:sz w:val="24"/>
          <w:szCs w:val="24"/>
          <w:rtl/>
        </w:rPr>
        <w:t xml:space="preserve"> </w:t>
      </w:r>
      <w:r w:rsidRPr="00C55044">
        <w:rPr>
          <w:rFonts w:hint="cs"/>
          <w:sz w:val="24"/>
          <w:szCs w:val="24"/>
          <w:rtl/>
        </w:rPr>
        <w:t xml:space="preserve">ينظر: - سعيد علوش: م. س، ص 56 </w:t>
      </w:r>
      <w:r w:rsidRPr="00C55044">
        <w:rPr>
          <w:sz w:val="24"/>
          <w:szCs w:val="24"/>
          <w:rtl/>
        </w:rPr>
        <w:t>–</w:t>
      </w:r>
      <w:r w:rsidRPr="00C55044">
        <w:rPr>
          <w:rFonts w:hint="cs"/>
          <w:sz w:val="24"/>
          <w:szCs w:val="24"/>
          <w:rtl/>
        </w:rPr>
        <w:t xml:space="preserve"> 59.</w:t>
      </w:r>
    </w:p>
    <w:p w:rsidR="00E07D0A" w:rsidRPr="00C55044" w:rsidRDefault="00E07D0A" w:rsidP="00E07D0A">
      <w:pPr>
        <w:pStyle w:val="Notedebasdepage"/>
        <w:ind w:firstLine="0"/>
        <w:rPr>
          <w:sz w:val="24"/>
          <w:szCs w:val="24"/>
        </w:rPr>
      </w:pPr>
      <w:r w:rsidRPr="00C55044">
        <w:rPr>
          <w:rFonts w:hint="cs"/>
          <w:sz w:val="24"/>
          <w:szCs w:val="24"/>
          <w:rtl/>
        </w:rPr>
        <w:t xml:space="preserve">          - يوسف بكار وخليل الشيخ: الأدب المقارن، ص80.</w:t>
      </w:r>
    </w:p>
  </w:footnote>
  <w:footnote w:id="5">
    <w:p w:rsidR="00E07D0A" w:rsidRPr="00C55044" w:rsidRDefault="00E07D0A" w:rsidP="00E07D0A">
      <w:pPr>
        <w:pStyle w:val="Notedebasdepage"/>
        <w:ind w:firstLine="0"/>
        <w:rPr>
          <w:sz w:val="24"/>
          <w:szCs w:val="24"/>
        </w:rPr>
      </w:pPr>
      <w:r w:rsidRPr="00C55044">
        <w:rPr>
          <w:rStyle w:val="Appelnotedebasdep"/>
          <w:sz w:val="24"/>
          <w:szCs w:val="24"/>
          <w:rtl/>
        </w:rPr>
        <w:t>4</w:t>
      </w:r>
      <w:r w:rsidRPr="00C55044">
        <w:rPr>
          <w:rFonts w:hint="cs"/>
          <w:sz w:val="24"/>
          <w:szCs w:val="24"/>
          <w:rtl/>
        </w:rPr>
        <w:t>- ينظر: ماريوس فرنسوا غويار: م. س، ص 07.</w:t>
      </w:r>
      <w:r w:rsidRPr="00C55044">
        <w:rPr>
          <w:sz w:val="24"/>
          <w:szCs w:val="24"/>
          <w:rtl/>
        </w:rPr>
        <w:t xml:space="preserve"> </w:t>
      </w:r>
    </w:p>
  </w:footnote>
  <w:footnote w:id="6">
    <w:p w:rsidR="00E07D0A" w:rsidRDefault="00E07D0A" w:rsidP="00E07D0A">
      <w:pPr>
        <w:pStyle w:val="Notedebasdepage"/>
        <w:ind w:firstLine="0"/>
      </w:pPr>
      <w:r w:rsidRPr="00C55044">
        <w:rPr>
          <w:rStyle w:val="Appelnotedebasdep"/>
          <w:sz w:val="24"/>
          <w:szCs w:val="24"/>
          <w:rtl/>
        </w:rPr>
        <w:t>5</w:t>
      </w:r>
      <w:r w:rsidRPr="00C55044">
        <w:rPr>
          <w:rFonts w:hint="cs"/>
          <w:sz w:val="24"/>
          <w:szCs w:val="24"/>
          <w:rtl/>
        </w:rPr>
        <w:t>-</w:t>
      </w:r>
      <w:r>
        <w:rPr>
          <w:rFonts w:hint="cs"/>
          <w:sz w:val="24"/>
          <w:szCs w:val="24"/>
          <w:rtl/>
        </w:rPr>
        <w:t xml:space="preserve"> ينظر: سعيد علوش: م. س، ص 61.</w:t>
      </w:r>
    </w:p>
  </w:footnote>
  <w:footnote w:id="7">
    <w:p w:rsidR="00E07D0A" w:rsidRPr="00AC167F" w:rsidRDefault="00E07D0A" w:rsidP="00E07D0A">
      <w:pPr>
        <w:pStyle w:val="Notedebasdepage"/>
        <w:ind w:firstLine="0"/>
        <w:rPr>
          <w:sz w:val="24"/>
          <w:szCs w:val="24"/>
        </w:rPr>
      </w:pPr>
      <w:r w:rsidRPr="00AC167F">
        <w:rPr>
          <w:rStyle w:val="Appelnotedebasdep"/>
          <w:sz w:val="24"/>
          <w:szCs w:val="24"/>
          <w:rtl/>
        </w:rPr>
        <w:t>1</w:t>
      </w:r>
      <w:r w:rsidRPr="00AC167F">
        <w:rPr>
          <w:rFonts w:hint="cs"/>
          <w:sz w:val="24"/>
          <w:szCs w:val="24"/>
          <w:rtl/>
        </w:rPr>
        <w:t xml:space="preserve">- </w:t>
      </w:r>
      <w:r w:rsidRPr="00AC167F">
        <w:rPr>
          <w:sz w:val="24"/>
          <w:szCs w:val="24"/>
          <w:rtl/>
        </w:rPr>
        <w:t xml:space="preserve"> </w:t>
      </w:r>
      <w:r w:rsidRPr="00AC167F">
        <w:rPr>
          <w:rFonts w:hint="cs"/>
          <w:sz w:val="24"/>
          <w:szCs w:val="24"/>
          <w:rtl/>
        </w:rPr>
        <w:t>يوسف بكار وخليل الشيخ: الأدب المقارن، ص80.</w:t>
      </w:r>
    </w:p>
  </w:footnote>
  <w:footnote w:id="8">
    <w:p w:rsidR="00E07D0A" w:rsidRPr="00AC167F" w:rsidRDefault="00E07D0A" w:rsidP="00E07D0A">
      <w:pPr>
        <w:pStyle w:val="Notedebasdepage"/>
        <w:ind w:firstLine="0"/>
        <w:rPr>
          <w:sz w:val="24"/>
          <w:szCs w:val="24"/>
        </w:rPr>
      </w:pPr>
      <w:r w:rsidRPr="00AC167F">
        <w:rPr>
          <w:rStyle w:val="Appelnotedebasdep"/>
          <w:sz w:val="24"/>
          <w:szCs w:val="24"/>
          <w:rtl/>
        </w:rPr>
        <w:t>2</w:t>
      </w:r>
      <w:r w:rsidRPr="00AC167F">
        <w:rPr>
          <w:rFonts w:hint="cs"/>
          <w:sz w:val="24"/>
          <w:szCs w:val="24"/>
          <w:rtl/>
        </w:rPr>
        <w:t>- م. ن، ص. ن.</w:t>
      </w:r>
    </w:p>
  </w:footnote>
  <w:footnote w:id="9">
    <w:p w:rsidR="00E07D0A" w:rsidRDefault="00E07D0A" w:rsidP="00E07D0A">
      <w:pPr>
        <w:pStyle w:val="Notedebasdepage"/>
        <w:ind w:firstLine="0"/>
      </w:pPr>
      <w:r w:rsidRPr="00AC167F">
        <w:rPr>
          <w:rStyle w:val="Appelnotedebasdep"/>
          <w:sz w:val="24"/>
          <w:szCs w:val="24"/>
          <w:rtl/>
        </w:rPr>
        <w:t>3</w:t>
      </w:r>
      <w:r w:rsidRPr="00AC167F">
        <w:rPr>
          <w:rFonts w:hint="cs"/>
          <w:sz w:val="24"/>
          <w:szCs w:val="24"/>
          <w:rtl/>
        </w:rPr>
        <w:t>- بير برونيل وأ. م روسو وآخرون: ما الأدب المقارن؟ ص103.</w:t>
      </w:r>
    </w:p>
  </w:footnote>
  <w:footnote w:id="10">
    <w:p w:rsidR="00E07D0A" w:rsidRPr="006160D6" w:rsidRDefault="00E07D0A" w:rsidP="00E07D0A">
      <w:pPr>
        <w:pStyle w:val="Notedebasdepage"/>
        <w:ind w:firstLine="0"/>
        <w:rPr>
          <w:sz w:val="24"/>
          <w:szCs w:val="24"/>
        </w:rPr>
      </w:pPr>
      <w:r w:rsidRPr="006160D6">
        <w:rPr>
          <w:rStyle w:val="Appelnotedebasdep"/>
          <w:sz w:val="24"/>
          <w:szCs w:val="24"/>
          <w:rtl/>
        </w:rPr>
        <w:t>4</w:t>
      </w:r>
      <w:r w:rsidRPr="006160D6">
        <w:rPr>
          <w:rFonts w:hint="cs"/>
          <w:sz w:val="24"/>
          <w:szCs w:val="24"/>
          <w:rtl/>
        </w:rPr>
        <w:t>-</w:t>
      </w:r>
      <w:r>
        <w:rPr>
          <w:rFonts w:hint="cs"/>
          <w:sz w:val="24"/>
          <w:szCs w:val="24"/>
          <w:rtl/>
        </w:rPr>
        <w:t xml:space="preserve"> </w:t>
      </w:r>
      <w:r w:rsidRPr="006160D6">
        <w:rPr>
          <w:rFonts w:hint="cs"/>
          <w:sz w:val="24"/>
          <w:szCs w:val="24"/>
          <w:rtl/>
        </w:rPr>
        <w:t>نجم</w:t>
      </w:r>
      <w:r>
        <w:rPr>
          <w:rFonts w:hint="cs"/>
          <w:sz w:val="24"/>
          <w:szCs w:val="24"/>
          <w:rtl/>
        </w:rPr>
        <w:t xml:space="preserve"> عبد الله كاظم: في الأدب المقارن </w:t>
      </w:r>
      <w:r>
        <w:rPr>
          <w:sz w:val="24"/>
          <w:szCs w:val="24"/>
          <w:rtl/>
        </w:rPr>
        <w:t>–</w:t>
      </w:r>
      <w:r>
        <w:rPr>
          <w:rFonts w:hint="cs"/>
          <w:sz w:val="24"/>
          <w:szCs w:val="24"/>
          <w:rtl/>
        </w:rPr>
        <w:t xml:space="preserve"> مقدمات للتطبيق، ط1، عالم الكتب الحديث للنشر والتوزيع، إربد، الأردن، 2008، ص 09.</w:t>
      </w:r>
    </w:p>
  </w:footnote>
  <w:footnote w:id="11">
    <w:p w:rsidR="00E07D0A" w:rsidRPr="00C8491D" w:rsidRDefault="00E07D0A" w:rsidP="00E07D0A">
      <w:pPr>
        <w:pStyle w:val="Notedebasdepage"/>
        <w:ind w:firstLine="0"/>
        <w:rPr>
          <w:sz w:val="24"/>
          <w:szCs w:val="24"/>
        </w:rPr>
      </w:pPr>
      <w:r w:rsidRPr="00C8491D">
        <w:rPr>
          <w:rStyle w:val="Appelnotedebasdep"/>
          <w:sz w:val="24"/>
          <w:szCs w:val="24"/>
          <w:rtl/>
        </w:rPr>
        <w:t>1</w:t>
      </w:r>
      <w:r w:rsidRPr="00C8491D">
        <w:rPr>
          <w:sz w:val="24"/>
          <w:szCs w:val="24"/>
          <w:rtl/>
        </w:rPr>
        <w:t xml:space="preserve"> </w:t>
      </w:r>
      <w:r w:rsidRPr="00C8491D">
        <w:rPr>
          <w:rFonts w:hint="cs"/>
          <w:sz w:val="24"/>
          <w:szCs w:val="24"/>
          <w:rtl/>
        </w:rPr>
        <w:t xml:space="preserve">- عبده عبّود: الأدب المقارن </w:t>
      </w:r>
      <w:r w:rsidRPr="00C8491D">
        <w:rPr>
          <w:sz w:val="24"/>
          <w:szCs w:val="24"/>
          <w:rtl/>
        </w:rPr>
        <w:t>–</w:t>
      </w:r>
      <w:r w:rsidRPr="00C8491D">
        <w:rPr>
          <w:rFonts w:hint="cs"/>
          <w:sz w:val="24"/>
          <w:szCs w:val="24"/>
          <w:rtl/>
        </w:rPr>
        <w:t xml:space="preserve"> مشكلات وآفاق، د. ط، من منشورات اتحاد الكتاب العرب، 1999، ص 27.</w:t>
      </w:r>
    </w:p>
  </w:footnote>
  <w:footnote w:id="12">
    <w:p w:rsidR="00E07D0A" w:rsidRDefault="00E07D0A" w:rsidP="00E07D0A">
      <w:pPr>
        <w:pStyle w:val="Notedebasdepage"/>
        <w:ind w:firstLine="0"/>
      </w:pPr>
      <w:r w:rsidRPr="00C8491D">
        <w:rPr>
          <w:rStyle w:val="Appelnotedebasdep"/>
          <w:sz w:val="24"/>
          <w:szCs w:val="24"/>
          <w:rtl/>
        </w:rPr>
        <w:t>2</w:t>
      </w:r>
      <w:r w:rsidRPr="00C8491D">
        <w:rPr>
          <w:rFonts w:hint="cs"/>
          <w:sz w:val="24"/>
          <w:szCs w:val="24"/>
          <w:rtl/>
        </w:rPr>
        <w:t xml:space="preserve">- </w:t>
      </w:r>
      <w:r w:rsidRPr="00C8491D">
        <w:rPr>
          <w:sz w:val="24"/>
          <w:szCs w:val="24"/>
          <w:rtl/>
        </w:rPr>
        <w:t xml:space="preserve"> </w:t>
      </w:r>
      <w:r w:rsidRPr="00C8491D">
        <w:rPr>
          <w:rFonts w:hint="cs"/>
          <w:sz w:val="24"/>
          <w:szCs w:val="24"/>
          <w:rtl/>
        </w:rPr>
        <w:t>بير برونيل وأ. م روسو وآخرون: ما الأدب المقارن؟ ص 103.</w:t>
      </w:r>
    </w:p>
  </w:footnote>
  <w:footnote w:id="13">
    <w:p w:rsidR="00E07D0A" w:rsidRPr="00FC775A" w:rsidRDefault="00E07D0A" w:rsidP="00E07D0A">
      <w:pPr>
        <w:pStyle w:val="Notedebasdepage"/>
        <w:ind w:firstLine="0"/>
        <w:rPr>
          <w:sz w:val="24"/>
          <w:szCs w:val="24"/>
          <w:rtl/>
        </w:rPr>
      </w:pPr>
      <w:r w:rsidRPr="00FC775A">
        <w:rPr>
          <w:rStyle w:val="Appelnotedebasdep"/>
          <w:sz w:val="24"/>
          <w:szCs w:val="24"/>
          <w:rtl/>
        </w:rPr>
        <w:t>1</w:t>
      </w:r>
      <w:r w:rsidRPr="00FC775A">
        <w:rPr>
          <w:rFonts w:hint="cs"/>
          <w:sz w:val="24"/>
          <w:szCs w:val="24"/>
          <w:rtl/>
        </w:rPr>
        <w:t>- ينظر: - يوسف بكار وخليل الشيخ: الأدب المقارن، ص 81.</w:t>
      </w:r>
      <w:r w:rsidRPr="00FC775A">
        <w:rPr>
          <w:sz w:val="24"/>
          <w:szCs w:val="24"/>
          <w:rtl/>
        </w:rPr>
        <w:t xml:space="preserve"> </w:t>
      </w:r>
    </w:p>
    <w:p w:rsidR="00E07D0A" w:rsidRPr="00FC775A" w:rsidRDefault="00E07D0A" w:rsidP="00E07D0A">
      <w:pPr>
        <w:pStyle w:val="Notedebasdepage"/>
        <w:ind w:firstLine="0"/>
        <w:rPr>
          <w:sz w:val="24"/>
          <w:szCs w:val="24"/>
        </w:rPr>
      </w:pPr>
      <w:r w:rsidRPr="00FC775A">
        <w:rPr>
          <w:rFonts w:hint="cs"/>
          <w:sz w:val="24"/>
          <w:szCs w:val="24"/>
          <w:rtl/>
        </w:rPr>
        <w:t xml:space="preserve">          - عبده عبّود: الأدب المقارن </w:t>
      </w:r>
      <w:r w:rsidRPr="00FC775A">
        <w:rPr>
          <w:sz w:val="24"/>
          <w:szCs w:val="24"/>
          <w:rtl/>
        </w:rPr>
        <w:t>–</w:t>
      </w:r>
      <w:r w:rsidRPr="00FC775A">
        <w:rPr>
          <w:rFonts w:hint="cs"/>
          <w:sz w:val="24"/>
          <w:szCs w:val="24"/>
          <w:rtl/>
        </w:rPr>
        <w:t xml:space="preserve"> مشكلات وآفاق، ص28.</w:t>
      </w:r>
    </w:p>
  </w:footnote>
  <w:footnote w:id="14">
    <w:p w:rsidR="00E07D0A" w:rsidRPr="00FC775A" w:rsidRDefault="00E07D0A" w:rsidP="00E07D0A">
      <w:pPr>
        <w:pStyle w:val="Notedebasdepage"/>
        <w:ind w:firstLine="0"/>
        <w:rPr>
          <w:sz w:val="24"/>
          <w:szCs w:val="24"/>
        </w:rPr>
      </w:pPr>
      <w:r w:rsidRPr="00FC775A">
        <w:rPr>
          <w:rStyle w:val="Appelnotedebasdep"/>
          <w:sz w:val="24"/>
          <w:szCs w:val="24"/>
          <w:rtl/>
        </w:rPr>
        <w:t>2</w:t>
      </w:r>
      <w:r w:rsidRPr="00FC775A">
        <w:rPr>
          <w:sz w:val="24"/>
          <w:szCs w:val="24"/>
          <w:rtl/>
        </w:rPr>
        <w:t xml:space="preserve"> </w:t>
      </w:r>
      <w:r>
        <w:rPr>
          <w:rFonts w:hint="cs"/>
          <w:sz w:val="24"/>
          <w:szCs w:val="24"/>
          <w:rtl/>
        </w:rPr>
        <w:t>- أحمد شوقي رضوان:</w:t>
      </w:r>
      <w:r w:rsidRPr="00FC775A">
        <w:rPr>
          <w:sz w:val="24"/>
          <w:szCs w:val="24"/>
          <w:rtl/>
        </w:rPr>
        <w:t xml:space="preserve"> </w:t>
      </w:r>
      <w:r w:rsidRPr="00FC775A">
        <w:rPr>
          <w:rFonts w:hint="cs"/>
          <w:sz w:val="24"/>
          <w:szCs w:val="24"/>
          <w:rtl/>
        </w:rPr>
        <w:t>مدخل إلى الدرس الأدبي المقارن، ط1، دار العلوم العربية، بيروت، لبنان، 1990،</w:t>
      </w:r>
      <w:r>
        <w:rPr>
          <w:rFonts w:hint="cs"/>
          <w:sz w:val="24"/>
          <w:szCs w:val="24"/>
          <w:rtl/>
        </w:rPr>
        <w:t xml:space="preserve"> ص 35.</w:t>
      </w:r>
      <w:r w:rsidRPr="00FC775A">
        <w:rPr>
          <w:rFonts w:hint="cs"/>
          <w:sz w:val="24"/>
          <w:szCs w:val="24"/>
          <w:rtl/>
        </w:rPr>
        <w:t xml:space="preserve"> </w:t>
      </w:r>
    </w:p>
  </w:footnote>
  <w:footnote w:id="15">
    <w:p w:rsidR="00E07D0A" w:rsidRDefault="00E07D0A" w:rsidP="00E07D0A">
      <w:pPr>
        <w:pStyle w:val="Notedebasdepage"/>
        <w:ind w:firstLine="0"/>
      </w:pPr>
      <w:r w:rsidRPr="00FC775A">
        <w:rPr>
          <w:rStyle w:val="Appelnotedebasdep"/>
          <w:sz w:val="24"/>
          <w:szCs w:val="24"/>
          <w:rtl/>
        </w:rPr>
        <w:t>3</w:t>
      </w:r>
      <w:r w:rsidRPr="00FC775A">
        <w:rPr>
          <w:rFonts w:hint="cs"/>
          <w:sz w:val="24"/>
          <w:szCs w:val="24"/>
          <w:rtl/>
        </w:rPr>
        <w:t>-</w:t>
      </w:r>
      <w:r w:rsidRPr="00FC775A">
        <w:rPr>
          <w:sz w:val="24"/>
          <w:szCs w:val="24"/>
          <w:rtl/>
        </w:rPr>
        <w:t xml:space="preserve"> </w:t>
      </w:r>
      <w:r w:rsidRPr="00FC775A">
        <w:rPr>
          <w:rFonts w:hint="cs"/>
          <w:sz w:val="24"/>
          <w:szCs w:val="24"/>
          <w:rtl/>
        </w:rPr>
        <w:t>عبده عبّود: م. س، ص 30.</w:t>
      </w:r>
    </w:p>
  </w:footnote>
  <w:footnote w:id="16">
    <w:p w:rsidR="00E07D0A" w:rsidRPr="00124CCF" w:rsidRDefault="00E07D0A" w:rsidP="00E07D0A">
      <w:pPr>
        <w:pStyle w:val="Notedebasdepage"/>
        <w:ind w:firstLine="0"/>
        <w:rPr>
          <w:sz w:val="24"/>
          <w:szCs w:val="24"/>
          <w:rtl/>
        </w:rPr>
      </w:pPr>
      <w:r w:rsidRPr="00124CCF">
        <w:rPr>
          <w:rStyle w:val="Appelnotedebasdep"/>
          <w:sz w:val="24"/>
          <w:szCs w:val="24"/>
          <w:rtl/>
        </w:rPr>
        <w:t>1</w:t>
      </w:r>
      <w:r w:rsidRPr="00124CCF">
        <w:rPr>
          <w:rFonts w:hint="cs"/>
          <w:sz w:val="24"/>
          <w:szCs w:val="24"/>
          <w:rtl/>
        </w:rPr>
        <w:t>- ينظر: -</w:t>
      </w:r>
      <w:r w:rsidRPr="00124CCF">
        <w:rPr>
          <w:sz w:val="24"/>
          <w:szCs w:val="24"/>
          <w:rtl/>
        </w:rPr>
        <w:t xml:space="preserve"> </w:t>
      </w:r>
      <w:r w:rsidRPr="00124CCF">
        <w:rPr>
          <w:rFonts w:hint="cs"/>
          <w:sz w:val="24"/>
          <w:szCs w:val="24"/>
          <w:rtl/>
        </w:rPr>
        <w:t>سعيد علوش: مدارس الأدب المقارن - دراسة منهجية، ص</w:t>
      </w:r>
      <w:r>
        <w:rPr>
          <w:rFonts w:hint="cs"/>
          <w:sz w:val="24"/>
          <w:szCs w:val="24"/>
          <w:rtl/>
        </w:rPr>
        <w:t xml:space="preserve"> 94- </w:t>
      </w:r>
      <w:r w:rsidRPr="00124CCF">
        <w:rPr>
          <w:rFonts w:hint="cs"/>
          <w:sz w:val="24"/>
          <w:szCs w:val="24"/>
          <w:rtl/>
        </w:rPr>
        <w:t>100</w:t>
      </w:r>
      <w:r>
        <w:rPr>
          <w:rFonts w:hint="cs"/>
          <w:sz w:val="24"/>
          <w:szCs w:val="24"/>
          <w:rtl/>
        </w:rPr>
        <w:t xml:space="preserve"> </w:t>
      </w:r>
      <w:r w:rsidRPr="00124CCF">
        <w:rPr>
          <w:rFonts w:hint="cs"/>
          <w:sz w:val="24"/>
          <w:szCs w:val="24"/>
          <w:rtl/>
        </w:rPr>
        <w:t>.</w:t>
      </w:r>
    </w:p>
    <w:p w:rsidR="00E07D0A" w:rsidRPr="00124CCF" w:rsidRDefault="00E07D0A" w:rsidP="00E07D0A">
      <w:pPr>
        <w:pStyle w:val="Notedebasdepage"/>
        <w:ind w:firstLine="0"/>
        <w:rPr>
          <w:sz w:val="24"/>
          <w:szCs w:val="24"/>
        </w:rPr>
      </w:pPr>
      <w:r w:rsidRPr="00124CCF">
        <w:rPr>
          <w:rFonts w:hint="cs"/>
          <w:sz w:val="24"/>
          <w:szCs w:val="24"/>
          <w:rtl/>
        </w:rPr>
        <w:t xml:space="preserve">          - يوسف بكار وخليل الشيخ: الأدب المقارن، ص83.</w:t>
      </w:r>
    </w:p>
  </w:footnote>
  <w:footnote w:id="17">
    <w:p w:rsidR="00E07D0A" w:rsidRPr="00124CCF" w:rsidRDefault="00E07D0A" w:rsidP="00E07D0A">
      <w:pPr>
        <w:pStyle w:val="Notedebasdepage"/>
        <w:ind w:firstLine="0"/>
        <w:rPr>
          <w:sz w:val="24"/>
          <w:szCs w:val="24"/>
        </w:rPr>
      </w:pPr>
      <w:r w:rsidRPr="00124CCF">
        <w:rPr>
          <w:rStyle w:val="Appelnotedebasdep"/>
          <w:sz w:val="24"/>
          <w:szCs w:val="24"/>
          <w:rtl/>
        </w:rPr>
        <w:t>2</w:t>
      </w:r>
      <w:r w:rsidRPr="00124CCF">
        <w:rPr>
          <w:rFonts w:hint="cs"/>
          <w:sz w:val="24"/>
          <w:szCs w:val="24"/>
          <w:rtl/>
        </w:rPr>
        <w:t>- ينظر: سعيد علوش: م. س، ص 94.</w:t>
      </w:r>
      <w:r w:rsidRPr="00124CCF">
        <w:rPr>
          <w:sz w:val="24"/>
          <w:szCs w:val="24"/>
          <w:rtl/>
        </w:rPr>
        <w:t xml:space="preserve"> </w:t>
      </w:r>
    </w:p>
  </w:footnote>
  <w:footnote w:id="18">
    <w:p w:rsidR="00E07D0A" w:rsidRPr="00B37007" w:rsidRDefault="00E07D0A" w:rsidP="00E07D0A">
      <w:pPr>
        <w:pStyle w:val="Notedebasdepage"/>
        <w:ind w:firstLine="0"/>
        <w:rPr>
          <w:sz w:val="24"/>
          <w:szCs w:val="24"/>
        </w:rPr>
      </w:pPr>
      <w:r w:rsidRPr="00B37007">
        <w:rPr>
          <w:rStyle w:val="Appelnotedebasdep"/>
          <w:sz w:val="24"/>
          <w:szCs w:val="24"/>
          <w:rtl/>
        </w:rPr>
        <w:t>1</w:t>
      </w:r>
      <w:r w:rsidRPr="00B37007">
        <w:rPr>
          <w:sz w:val="24"/>
          <w:szCs w:val="24"/>
          <w:rtl/>
        </w:rPr>
        <w:t xml:space="preserve"> </w:t>
      </w:r>
      <w:r w:rsidRPr="00B37007">
        <w:rPr>
          <w:rFonts w:hint="cs"/>
          <w:sz w:val="24"/>
          <w:szCs w:val="24"/>
          <w:rtl/>
        </w:rPr>
        <w:t xml:space="preserve">- </w:t>
      </w:r>
      <w:r w:rsidRPr="00B37007">
        <w:rPr>
          <w:sz w:val="24"/>
          <w:szCs w:val="24"/>
          <w:rtl/>
        </w:rPr>
        <w:t xml:space="preserve"> </w:t>
      </w:r>
      <w:r>
        <w:rPr>
          <w:rFonts w:hint="cs"/>
          <w:sz w:val="24"/>
          <w:szCs w:val="24"/>
          <w:rtl/>
        </w:rPr>
        <w:t xml:space="preserve">ينظر: </w:t>
      </w:r>
      <w:r w:rsidRPr="00B37007">
        <w:rPr>
          <w:rFonts w:hint="cs"/>
          <w:sz w:val="24"/>
          <w:szCs w:val="24"/>
          <w:rtl/>
        </w:rPr>
        <w:t>يوسف بكار وخليل الشيخ: الأدب المقارن، ص83.</w:t>
      </w:r>
    </w:p>
  </w:footnote>
  <w:footnote w:id="19">
    <w:p w:rsidR="00E07D0A" w:rsidRPr="00B37007" w:rsidRDefault="00E07D0A" w:rsidP="00E07D0A">
      <w:pPr>
        <w:pStyle w:val="Notedebasdepage"/>
        <w:ind w:firstLine="0"/>
        <w:rPr>
          <w:sz w:val="24"/>
          <w:szCs w:val="24"/>
        </w:rPr>
      </w:pPr>
      <w:r w:rsidRPr="00B37007">
        <w:rPr>
          <w:rStyle w:val="Appelnotedebasdep"/>
          <w:sz w:val="24"/>
          <w:szCs w:val="24"/>
          <w:rtl/>
        </w:rPr>
        <w:t>2</w:t>
      </w:r>
      <w:r w:rsidRPr="00B37007">
        <w:rPr>
          <w:rFonts w:hint="cs"/>
          <w:sz w:val="24"/>
          <w:szCs w:val="24"/>
          <w:rtl/>
        </w:rPr>
        <w:t xml:space="preserve">- سعيد علوش: مدارس الأدب المقارن - دراسة منهجية، ص 94 </w:t>
      </w:r>
      <w:r w:rsidRPr="00B37007">
        <w:rPr>
          <w:sz w:val="24"/>
          <w:szCs w:val="24"/>
          <w:rtl/>
        </w:rPr>
        <w:t>–</w:t>
      </w:r>
      <w:r w:rsidRPr="00B37007">
        <w:rPr>
          <w:rFonts w:hint="cs"/>
          <w:sz w:val="24"/>
          <w:szCs w:val="24"/>
          <w:rtl/>
        </w:rPr>
        <w:t xml:space="preserve"> 95.</w:t>
      </w:r>
    </w:p>
  </w:footnote>
  <w:footnote w:id="20">
    <w:p w:rsidR="00E07D0A" w:rsidRPr="00B37007" w:rsidRDefault="00E07D0A" w:rsidP="00E07D0A">
      <w:pPr>
        <w:pStyle w:val="Notedebasdepage"/>
        <w:ind w:firstLine="0"/>
        <w:rPr>
          <w:sz w:val="24"/>
          <w:szCs w:val="24"/>
        </w:rPr>
      </w:pPr>
      <w:r w:rsidRPr="00B37007">
        <w:rPr>
          <w:rStyle w:val="Appelnotedebasdep"/>
          <w:sz w:val="24"/>
          <w:szCs w:val="24"/>
          <w:rtl/>
        </w:rPr>
        <w:t>3</w:t>
      </w:r>
      <w:r w:rsidRPr="00B37007">
        <w:rPr>
          <w:sz w:val="24"/>
          <w:szCs w:val="24"/>
          <w:rtl/>
        </w:rPr>
        <w:t xml:space="preserve"> –</w:t>
      </w:r>
      <w:r w:rsidRPr="00B37007">
        <w:rPr>
          <w:rFonts w:hint="cs"/>
          <w:sz w:val="24"/>
          <w:szCs w:val="24"/>
          <w:rtl/>
        </w:rPr>
        <w:t xml:space="preserve">عبده عبّود: الأدب المقارن </w:t>
      </w:r>
      <w:r w:rsidRPr="00B37007">
        <w:rPr>
          <w:sz w:val="24"/>
          <w:szCs w:val="24"/>
          <w:rtl/>
        </w:rPr>
        <w:t>–</w:t>
      </w:r>
      <w:r w:rsidRPr="00B37007">
        <w:rPr>
          <w:rFonts w:hint="cs"/>
          <w:sz w:val="24"/>
          <w:szCs w:val="24"/>
          <w:rtl/>
        </w:rPr>
        <w:t xml:space="preserve"> مشكلات وآفاق، ص 63. </w:t>
      </w:r>
    </w:p>
  </w:footnote>
  <w:footnote w:id="21">
    <w:p w:rsidR="00E07D0A" w:rsidRDefault="00E07D0A" w:rsidP="00E07D0A">
      <w:pPr>
        <w:pStyle w:val="Notedebasdepage"/>
        <w:ind w:firstLine="0"/>
      </w:pPr>
      <w:r>
        <w:rPr>
          <w:rStyle w:val="Appelnotedebasdep"/>
          <w:rtl/>
        </w:rPr>
        <w:t>4</w:t>
      </w:r>
      <w:r>
        <w:rPr>
          <w:rtl/>
        </w:rPr>
        <w:t xml:space="preserve"> </w:t>
      </w:r>
      <w:r>
        <w:rPr>
          <w:rFonts w:hint="cs"/>
          <w:rtl/>
        </w:rPr>
        <w:t>-</w:t>
      </w:r>
      <w:r w:rsidRPr="005C27D7">
        <w:rPr>
          <w:rFonts w:hint="cs"/>
          <w:sz w:val="24"/>
          <w:szCs w:val="24"/>
          <w:rtl/>
        </w:rPr>
        <w:t xml:space="preserve"> </w:t>
      </w:r>
      <w:r w:rsidRPr="00F429E0">
        <w:rPr>
          <w:rFonts w:hint="cs"/>
          <w:sz w:val="24"/>
          <w:szCs w:val="24"/>
          <w:rtl/>
        </w:rPr>
        <w:t xml:space="preserve">دانييل </w:t>
      </w:r>
      <w:r w:rsidRPr="00F429E0">
        <w:rPr>
          <w:sz w:val="24"/>
          <w:szCs w:val="24"/>
          <w:rtl/>
        </w:rPr>
        <w:t>–</w:t>
      </w:r>
      <w:r w:rsidRPr="00F429E0">
        <w:rPr>
          <w:rFonts w:hint="cs"/>
          <w:sz w:val="24"/>
          <w:szCs w:val="24"/>
          <w:rtl/>
        </w:rPr>
        <w:t xml:space="preserve"> هنري باجو: الأدب العام المقارن</w:t>
      </w:r>
      <w:r>
        <w:rPr>
          <w:rFonts w:hint="cs"/>
          <w:sz w:val="24"/>
          <w:szCs w:val="24"/>
          <w:rtl/>
        </w:rPr>
        <w:t xml:space="preserve">، ص 18 </w:t>
      </w:r>
      <w:r>
        <w:rPr>
          <w:sz w:val="24"/>
          <w:szCs w:val="24"/>
          <w:rtl/>
        </w:rPr>
        <w:t>–</w:t>
      </w:r>
      <w:r>
        <w:rPr>
          <w:rFonts w:hint="cs"/>
          <w:sz w:val="24"/>
          <w:szCs w:val="24"/>
          <w:rtl/>
        </w:rPr>
        <w:t xml:space="preserve"> 19.</w:t>
      </w:r>
    </w:p>
  </w:footnote>
  <w:footnote w:id="22">
    <w:p w:rsidR="00E07D0A" w:rsidRDefault="00E07D0A" w:rsidP="00E07D0A">
      <w:pPr>
        <w:pStyle w:val="Notedebasdepage"/>
        <w:ind w:firstLine="0"/>
      </w:pPr>
      <w:r>
        <w:rPr>
          <w:rStyle w:val="Appelnotedebasdep"/>
          <w:rtl/>
        </w:rPr>
        <w:t>5</w:t>
      </w:r>
      <w:r w:rsidRPr="00B37007">
        <w:rPr>
          <w:sz w:val="24"/>
          <w:szCs w:val="24"/>
          <w:rtl/>
        </w:rPr>
        <w:t xml:space="preserve"> –</w:t>
      </w:r>
      <w:r w:rsidRPr="00B37007">
        <w:rPr>
          <w:rFonts w:hint="cs"/>
          <w:sz w:val="24"/>
          <w:szCs w:val="24"/>
          <w:rtl/>
        </w:rPr>
        <w:t xml:space="preserve"> يوسف بكار وخليل الشيخ: م. س، ص 94.</w:t>
      </w:r>
    </w:p>
  </w:footnote>
  <w:footnote w:id="23">
    <w:p w:rsidR="00E07D0A" w:rsidRPr="005C27D7" w:rsidRDefault="00E07D0A" w:rsidP="00E07D0A">
      <w:pPr>
        <w:pStyle w:val="Notedebasdepage"/>
        <w:ind w:firstLine="0"/>
        <w:rPr>
          <w:sz w:val="24"/>
          <w:szCs w:val="24"/>
        </w:rPr>
      </w:pPr>
      <w:r w:rsidRPr="005C27D7">
        <w:rPr>
          <w:rStyle w:val="Appelnotedebasdep"/>
          <w:sz w:val="24"/>
          <w:szCs w:val="24"/>
          <w:rtl/>
        </w:rPr>
        <w:t>1</w:t>
      </w:r>
      <w:r w:rsidRPr="005C27D7">
        <w:rPr>
          <w:sz w:val="24"/>
          <w:szCs w:val="24"/>
          <w:rtl/>
        </w:rPr>
        <w:t xml:space="preserve"> </w:t>
      </w:r>
      <w:r w:rsidRPr="005C27D7">
        <w:rPr>
          <w:rFonts w:hint="cs"/>
          <w:sz w:val="24"/>
          <w:szCs w:val="24"/>
          <w:rtl/>
        </w:rPr>
        <w:t xml:space="preserve">- عبده عبّود: الأدب المقارن </w:t>
      </w:r>
      <w:r w:rsidRPr="005C27D7">
        <w:rPr>
          <w:sz w:val="24"/>
          <w:szCs w:val="24"/>
          <w:rtl/>
        </w:rPr>
        <w:t>–</w:t>
      </w:r>
      <w:r w:rsidRPr="005C27D7">
        <w:rPr>
          <w:rFonts w:hint="cs"/>
          <w:sz w:val="24"/>
          <w:szCs w:val="24"/>
          <w:rtl/>
        </w:rPr>
        <w:t xml:space="preserve"> مشكلات وآفاق، ص 46.</w:t>
      </w:r>
      <w:r w:rsidRPr="005C27D7">
        <w:rPr>
          <w:sz w:val="24"/>
          <w:szCs w:val="24"/>
          <w:rtl/>
        </w:rPr>
        <w:t xml:space="preserve"> </w:t>
      </w:r>
    </w:p>
  </w:footnote>
  <w:footnote w:id="24">
    <w:p w:rsidR="00E07D0A" w:rsidRPr="005C27D7" w:rsidRDefault="00E07D0A" w:rsidP="00E07D0A">
      <w:pPr>
        <w:pStyle w:val="Notedebasdepage"/>
        <w:ind w:firstLine="0"/>
        <w:rPr>
          <w:sz w:val="24"/>
          <w:szCs w:val="24"/>
        </w:rPr>
      </w:pPr>
      <w:r w:rsidRPr="005C27D7">
        <w:rPr>
          <w:rStyle w:val="Appelnotedebasdep"/>
          <w:sz w:val="24"/>
          <w:szCs w:val="24"/>
          <w:rtl/>
        </w:rPr>
        <w:t>2</w:t>
      </w:r>
      <w:r w:rsidRPr="005C27D7">
        <w:rPr>
          <w:sz w:val="24"/>
          <w:szCs w:val="24"/>
          <w:rtl/>
        </w:rPr>
        <w:t xml:space="preserve"> </w:t>
      </w:r>
      <w:r>
        <w:rPr>
          <w:sz w:val="24"/>
          <w:szCs w:val="24"/>
          <w:rtl/>
        </w:rPr>
        <w:t>–</w:t>
      </w:r>
      <w:r w:rsidRPr="005C27D7">
        <w:rPr>
          <w:rFonts w:hint="cs"/>
          <w:sz w:val="24"/>
          <w:szCs w:val="24"/>
          <w:rtl/>
        </w:rPr>
        <w:t xml:space="preserve"> </w:t>
      </w:r>
      <w:r>
        <w:rPr>
          <w:rFonts w:hint="cs"/>
          <w:sz w:val="24"/>
          <w:szCs w:val="24"/>
          <w:rtl/>
        </w:rPr>
        <w:t xml:space="preserve">م. ن، </w:t>
      </w:r>
      <w:r w:rsidRPr="005C27D7">
        <w:rPr>
          <w:rFonts w:hint="cs"/>
          <w:sz w:val="24"/>
          <w:szCs w:val="24"/>
          <w:rtl/>
        </w:rPr>
        <w:t xml:space="preserve"> ص 47.</w:t>
      </w:r>
    </w:p>
  </w:footnote>
  <w:footnote w:id="25">
    <w:p w:rsidR="00E07D0A" w:rsidRPr="005C27D7" w:rsidRDefault="00E07D0A" w:rsidP="00E07D0A">
      <w:pPr>
        <w:pStyle w:val="Notedebasdepage"/>
        <w:ind w:firstLine="0"/>
        <w:rPr>
          <w:sz w:val="24"/>
          <w:szCs w:val="24"/>
        </w:rPr>
      </w:pPr>
      <w:r w:rsidRPr="005C27D7">
        <w:rPr>
          <w:rStyle w:val="Appelnotedebasdep"/>
          <w:sz w:val="24"/>
          <w:szCs w:val="24"/>
          <w:rtl/>
        </w:rPr>
        <w:t>3</w:t>
      </w:r>
      <w:r w:rsidRPr="005C27D7">
        <w:rPr>
          <w:sz w:val="24"/>
          <w:szCs w:val="24"/>
          <w:rtl/>
        </w:rPr>
        <w:t xml:space="preserve"> –</w:t>
      </w:r>
      <w:r w:rsidRPr="005C27D7">
        <w:rPr>
          <w:rFonts w:hint="cs"/>
          <w:sz w:val="24"/>
          <w:szCs w:val="24"/>
          <w:rtl/>
        </w:rPr>
        <w:t xml:space="preserve"> نجم عبد الله كاظم: في الأدب المقارن </w:t>
      </w:r>
      <w:r w:rsidRPr="005C27D7">
        <w:rPr>
          <w:sz w:val="24"/>
          <w:szCs w:val="24"/>
          <w:rtl/>
        </w:rPr>
        <w:t>–</w:t>
      </w:r>
      <w:r w:rsidRPr="005C27D7">
        <w:rPr>
          <w:rFonts w:hint="cs"/>
          <w:sz w:val="24"/>
          <w:szCs w:val="24"/>
          <w:rtl/>
        </w:rPr>
        <w:t xml:space="preserve"> مقدمات للتطبيق، ص 09.</w:t>
      </w:r>
    </w:p>
  </w:footnote>
  <w:footnote w:id="26">
    <w:p w:rsidR="00E07D0A" w:rsidRPr="005C27D7" w:rsidRDefault="00E07D0A" w:rsidP="00E07D0A">
      <w:pPr>
        <w:pStyle w:val="Notedebasdepage"/>
        <w:ind w:firstLine="0"/>
        <w:rPr>
          <w:sz w:val="24"/>
          <w:szCs w:val="24"/>
        </w:rPr>
      </w:pPr>
      <w:r w:rsidRPr="005C27D7">
        <w:rPr>
          <w:rStyle w:val="Appelnotedebasdep"/>
          <w:sz w:val="24"/>
          <w:szCs w:val="24"/>
          <w:rtl/>
        </w:rPr>
        <w:t>4</w:t>
      </w:r>
      <w:r w:rsidRPr="005C27D7">
        <w:rPr>
          <w:sz w:val="24"/>
          <w:szCs w:val="24"/>
          <w:rtl/>
        </w:rPr>
        <w:t xml:space="preserve"> </w:t>
      </w:r>
      <w:r w:rsidRPr="005C27D7">
        <w:rPr>
          <w:rFonts w:hint="cs"/>
          <w:sz w:val="24"/>
          <w:szCs w:val="24"/>
          <w:rtl/>
        </w:rPr>
        <w:t xml:space="preserve">- ينظر: </w:t>
      </w:r>
      <w:r w:rsidRPr="005C27D7">
        <w:rPr>
          <w:sz w:val="24"/>
          <w:szCs w:val="24"/>
          <w:rtl/>
        </w:rPr>
        <w:t xml:space="preserve"> </w:t>
      </w:r>
      <w:r w:rsidRPr="005C27D7">
        <w:rPr>
          <w:rFonts w:hint="cs"/>
          <w:sz w:val="24"/>
          <w:szCs w:val="24"/>
          <w:rtl/>
        </w:rPr>
        <w:t>يوسف بكار وخليل الشيخ: الأدب المقارن، ص 67.</w:t>
      </w:r>
    </w:p>
  </w:footnote>
  <w:footnote w:id="27">
    <w:p w:rsidR="00E07D0A" w:rsidRDefault="00E07D0A" w:rsidP="00E07D0A">
      <w:pPr>
        <w:pStyle w:val="Notedebasdepage"/>
        <w:ind w:firstLine="0"/>
      </w:pPr>
    </w:p>
  </w:footnote>
  <w:footnote w:id="28">
    <w:p w:rsidR="00E07D0A" w:rsidRPr="00FD5DFF" w:rsidRDefault="00E07D0A" w:rsidP="00E07D0A">
      <w:pPr>
        <w:pStyle w:val="Notedebasdepage"/>
        <w:ind w:firstLine="0"/>
        <w:rPr>
          <w:sz w:val="24"/>
          <w:szCs w:val="24"/>
        </w:rPr>
      </w:pPr>
      <w:r w:rsidRPr="00FD5DFF">
        <w:rPr>
          <w:rStyle w:val="Appelnotedebasdep"/>
          <w:sz w:val="24"/>
          <w:szCs w:val="24"/>
          <w:rtl/>
        </w:rPr>
        <w:t>1</w:t>
      </w:r>
      <w:r w:rsidRPr="00FD5DFF">
        <w:rPr>
          <w:rFonts w:hint="cs"/>
          <w:sz w:val="24"/>
          <w:szCs w:val="24"/>
          <w:rtl/>
        </w:rPr>
        <w:t>-</w:t>
      </w:r>
      <w:r w:rsidRPr="00FD5DFF">
        <w:rPr>
          <w:sz w:val="24"/>
          <w:szCs w:val="24"/>
          <w:rtl/>
        </w:rPr>
        <w:t xml:space="preserve"> </w:t>
      </w:r>
      <w:r w:rsidRPr="00FD5DFF">
        <w:rPr>
          <w:rFonts w:hint="cs"/>
          <w:sz w:val="24"/>
          <w:szCs w:val="24"/>
          <w:rtl/>
        </w:rPr>
        <w:t>يوسف بكار وخليل الشيخ: الأدب المقارن، ص 83.</w:t>
      </w:r>
    </w:p>
  </w:footnote>
  <w:footnote w:id="29">
    <w:p w:rsidR="00E07D0A" w:rsidRPr="00FD5DFF" w:rsidRDefault="00E07D0A" w:rsidP="00E07D0A">
      <w:pPr>
        <w:pStyle w:val="Notedebasdepage"/>
        <w:ind w:firstLine="0"/>
        <w:rPr>
          <w:sz w:val="24"/>
          <w:szCs w:val="24"/>
          <w:rtl/>
        </w:rPr>
      </w:pPr>
      <w:r w:rsidRPr="00FD5DFF">
        <w:rPr>
          <w:rStyle w:val="Appelnotedebasdep"/>
          <w:sz w:val="24"/>
          <w:szCs w:val="24"/>
          <w:rtl/>
        </w:rPr>
        <w:t>2</w:t>
      </w:r>
      <w:r w:rsidRPr="00FD5DFF">
        <w:rPr>
          <w:sz w:val="24"/>
          <w:szCs w:val="24"/>
          <w:rtl/>
        </w:rPr>
        <w:t xml:space="preserve"> –</w:t>
      </w:r>
      <w:r w:rsidRPr="00FD5DFF">
        <w:rPr>
          <w:rFonts w:hint="cs"/>
          <w:sz w:val="24"/>
          <w:szCs w:val="24"/>
          <w:rtl/>
        </w:rPr>
        <w:t xml:space="preserve"> ينظر: - م. ن، ص</w:t>
      </w:r>
      <w:r>
        <w:rPr>
          <w:rFonts w:hint="cs"/>
          <w:sz w:val="24"/>
          <w:szCs w:val="24"/>
          <w:rtl/>
        </w:rPr>
        <w:t>84</w:t>
      </w:r>
      <w:r w:rsidRPr="00FD5DFF">
        <w:rPr>
          <w:rFonts w:hint="cs"/>
          <w:sz w:val="24"/>
          <w:szCs w:val="24"/>
          <w:rtl/>
        </w:rPr>
        <w:t>.</w:t>
      </w:r>
    </w:p>
    <w:p w:rsidR="00E07D0A" w:rsidRDefault="00E07D0A" w:rsidP="00E07D0A">
      <w:pPr>
        <w:pStyle w:val="Notedebasdepage"/>
        <w:ind w:firstLine="0"/>
      </w:pPr>
      <w:r w:rsidRPr="00FD5DFF">
        <w:rPr>
          <w:rFonts w:hint="cs"/>
          <w:sz w:val="24"/>
          <w:szCs w:val="24"/>
          <w:rtl/>
        </w:rPr>
        <w:t xml:space="preserve">           - سعيد علوش: مدارس الأدب المقارن - دراسة منهجية، ص 105.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62F"/>
    <w:multiLevelType w:val="hybridMultilevel"/>
    <w:tmpl w:val="B3E2734E"/>
    <w:lvl w:ilvl="0" w:tplc="AB8A7F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50D7D88"/>
    <w:multiLevelType w:val="hybridMultilevel"/>
    <w:tmpl w:val="35A21AB2"/>
    <w:lvl w:ilvl="0" w:tplc="D450A5E8">
      <w:start w:val="2"/>
      <w:numFmt w:val="bullet"/>
      <w:lvlText w:val="-"/>
      <w:lvlJc w:val="left"/>
      <w:pPr>
        <w:ind w:left="1350" w:hanging="360"/>
      </w:pPr>
      <w:rPr>
        <w:rFonts w:ascii="Simplified Arabic" w:eastAsiaTheme="minorHAnsi" w:hAnsi="Simplified Arabic" w:cs="Simplified Arabic"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2">
    <w:nsid w:val="06354F30"/>
    <w:multiLevelType w:val="hybridMultilevel"/>
    <w:tmpl w:val="8B02330C"/>
    <w:lvl w:ilvl="0" w:tplc="D5C2F1E6">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B167ED8"/>
    <w:multiLevelType w:val="hybridMultilevel"/>
    <w:tmpl w:val="27E265CC"/>
    <w:lvl w:ilvl="0" w:tplc="211C727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0CE27D68"/>
    <w:multiLevelType w:val="hybridMultilevel"/>
    <w:tmpl w:val="42A4D9B4"/>
    <w:lvl w:ilvl="0" w:tplc="61A08B60">
      <w:start w:val="3"/>
      <w:numFmt w:val="decimal"/>
      <w:lvlText w:val="%1-"/>
      <w:lvlJc w:val="left"/>
      <w:pPr>
        <w:ind w:left="1211" w:hanging="360"/>
      </w:pPr>
      <w:rPr>
        <w:rFonts w:hint="default"/>
        <w:b/>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nsid w:val="0D2C796C"/>
    <w:multiLevelType w:val="hybridMultilevel"/>
    <w:tmpl w:val="C50A8A5A"/>
    <w:lvl w:ilvl="0" w:tplc="62801CFE">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07512FB"/>
    <w:multiLevelType w:val="hybridMultilevel"/>
    <w:tmpl w:val="CBD4191C"/>
    <w:lvl w:ilvl="0" w:tplc="5D8A06D8">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2F74645"/>
    <w:multiLevelType w:val="hybridMultilevel"/>
    <w:tmpl w:val="998ABFFC"/>
    <w:lvl w:ilvl="0" w:tplc="91A4D7C8">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140E1E99"/>
    <w:multiLevelType w:val="hybridMultilevel"/>
    <w:tmpl w:val="3E28F2C8"/>
    <w:lvl w:ilvl="0" w:tplc="93E4092C">
      <w:start w:val="1"/>
      <w:numFmt w:val="decimal"/>
      <w:lvlText w:val="%1-"/>
      <w:lvlJc w:val="left"/>
      <w:pPr>
        <w:ind w:left="1128" w:hanging="42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7584153"/>
    <w:multiLevelType w:val="hybridMultilevel"/>
    <w:tmpl w:val="92206CA4"/>
    <w:lvl w:ilvl="0" w:tplc="79C273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3201DB"/>
    <w:multiLevelType w:val="hybridMultilevel"/>
    <w:tmpl w:val="3A7AC98E"/>
    <w:lvl w:ilvl="0" w:tplc="236A06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3B21D1B"/>
    <w:multiLevelType w:val="hybridMultilevel"/>
    <w:tmpl w:val="BB789502"/>
    <w:lvl w:ilvl="0" w:tplc="2604D5C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2B5F2380"/>
    <w:multiLevelType w:val="hybridMultilevel"/>
    <w:tmpl w:val="1ED4025E"/>
    <w:lvl w:ilvl="0" w:tplc="1AFA4F36">
      <w:start w:val="1"/>
      <w:numFmt w:val="bullet"/>
      <w:lvlText w:val="-"/>
      <w:lvlJc w:val="left"/>
      <w:pPr>
        <w:ind w:left="1125" w:hanging="360"/>
      </w:pPr>
      <w:rPr>
        <w:rFonts w:ascii="Simplified Arabic" w:eastAsiaTheme="minorHAnsi" w:hAnsi="Simplified Arabic" w:cs="Simplified Arabic"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3">
    <w:nsid w:val="2D777D32"/>
    <w:multiLevelType w:val="hybridMultilevel"/>
    <w:tmpl w:val="04207D80"/>
    <w:lvl w:ilvl="0" w:tplc="071E62CC">
      <w:start w:val="1"/>
      <w:numFmt w:val="decimal"/>
      <w:lvlText w:val="%1-"/>
      <w:lvlJc w:val="left"/>
      <w:pPr>
        <w:ind w:left="780" w:hanging="420"/>
      </w:pPr>
      <w:rPr>
        <w:rFonts w:ascii="Simplified Arabic" w:hAnsi="Simplified Arabic" w:cs="Simplified Arabic" w:hint="default"/>
        <w:sz w:val="30"/>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DF643C"/>
    <w:multiLevelType w:val="hybridMultilevel"/>
    <w:tmpl w:val="41C48422"/>
    <w:lvl w:ilvl="0" w:tplc="8BA0E1FC">
      <w:start w:val="3"/>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347C2AB7"/>
    <w:multiLevelType w:val="hybridMultilevel"/>
    <w:tmpl w:val="56B279B0"/>
    <w:lvl w:ilvl="0" w:tplc="3A2C3074">
      <w:start w:val="1"/>
      <w:numFmt w:val="arabicAlpha"/>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4F73FA"/>
    <w:multiLevelType w:val="hybridMultilevel"/>
    <w:tmpl w:val="FD541A86"/>
    <w:lvl w:ilvl="0" w:tplc="626403C6">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47607394"/>
    <w:multiLevelType w:val="hybridMultilevel"/>
    <w:tmpl w:val="16180624"/>
    <w:lvl w:ilvl="0" w:tplc="DB50137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4D2410C4"/>
    <w:multiLevelType w:val="hybridMultilevel"/>
    <w:tmpl w:val="B3101A86"/>
    <w:lvl w:ilvl="0" w:tplc="A6AEF1B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D480020"/>
    <w:multiLevelType w:val="hybridMultilevel"/>
    <w:tmpl w:val="A112CDFC"/>
    <w:lvl w:ilvl="0" w:tplc="B88AF4BE">
      <w:start w:val="1"/>
      <w:numFmt w:val="arabicAlpha"/>
      <w:lvlText w:val="%1-"/>
      <w:lvlJc w:val="left"/>
      <w:pPr>
        <w:ind w:left="1758" w:hanging="105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4F746C6A"/>
    <w:multiLevelType w:val="hybridMultilevel"/>
    <w:tmpl w:val="88B02C02"/>
    <w:lvl w:ilvl="0" w:tplc="037E7C72">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52A70B60"/>
    <w:multiLevelType w:val="hybridMultilevel"/>
    <w:tmpl w:val="79EE0DA0"/>
    <w:lvl w:ilvl="0" w:tplc="0EC87CB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75236A3"/>
    <w:multiLevelType w:val="hybridMultilevel"/>
    <w:tmpl w:val="069CC6DE"/>
    <w:lvl w:ilvl="0" w:tplc="4B2ADE98">
      <w:start w:val="2"/>
      <w:numFmt w:val="bullet"/>
      <w:lvlText w:val="-"/>
      <w:lvlJc w:val="left"/>
      <w:pPr>
        <w:ind w:left="930" w:hanging="360"/>
      </w:pPr>
      <w:rPr>
        <w:rFonts w:ascii="Simplified Arabic" w:eastAsiaTheme="minorHAnsi" w:hAnsi="Simplified Arabic" w:cs="Simplified Arabic"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3">
    <w:nsid w:val="68BA66DC"/>
    <w:multiLevelType w:val="hybridMultilevel"/>
    <w:tmpl w:val="B558751C"/>
    <w:lvl w:ilvl="0" w:tplc="F4424C2C">
      <w:start w:val="3"/>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nsid w:val="6C361CBA"/>
    <w:multiLevelType w:val="hybridMultilevel"/>
    <w:tmpl w:val="7A4892A4"/>
    <w:lvl w:ilvl="0" w:tplc="3E7C839C">
      <w:start w:val="1"/>
      <w:numFmt w:val="arabicAlpha"/>
      <w:lvlText w:val="%1-"/>
      <w:lvlJc w:val="left"/>
      <w:pPr>
        <w:ind w:left="1068" w:hanging="360"/>
      </w:pPr>
      <w:rPr>
        <w:rFonts w:hint="default"/>
        <w:b/>
        <w:lang w:bidi="ar-DZ"/>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6C537C62"/>
    <w:multiLevelType w:val="hybridMultilevel"/>
    <w:tmpl w:val="597ED24A"/>
    <w:lvl w:ilvl="0" w:tplc="349CADC2">
      <w:start w:val="4"/>
      <w:numFmt w:val="bullet"/>
      <w:lvlText w:val="-"/>
      <w:lvlJc w:val="left"/>
      <w:pPr>
        <w:ind w:left="1125" w:hanging="360"/>
      </w:pPr>
      <w:rPr>
        <w:rFonts w:ascii="Simplified Arabic" w:eastAsiaTheme="minorHAnsi" w:hAnsi="Simplified Arabic" w:cs="Simplified Arabic"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6">
    <w:nsid w:val="7D707B62"/>
    <w:multiLevelType w:val="hybridMultilevel"/>
    <w:tmpl w:val="D7BA994E"/>
    <w:lvl w:ilvl="0" w:tplc="2A66D99C">
      <w:start w:val="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2"/>
  </w:num>
  <w:num w:numId="2">
    <w:abstractNumId w:val="1"/>
  </w:num>
  <w:num w:numId="3">
    <w:abstractNumId w:val="7"/>
  </w:num>
  <w:num w:numId="4">
    <w:abstractNumId w:val="22"/>
  </w:num>
  <w:num w:numId="5">
    <w:abstractNumId w:val="0"/>
  </w:num>
  <w:num w:numId="6">
    <w:abstractNumId w:val="2"/>
  </w:num>
  <w:num w:numId="7">
    <w:abstractNumId w:val="9"/>
  </w:num>
  <w:num w:numId="8">
    <w:abstractNumId w:val="26"/>
  </w:num>
  <w:num w:numId="9">
    <w:abstractNumId w:val="4"/>
  </w:num>
  <w:num w:numId="10">
    <w:abstractNumId w:val="23"/>
  </w:num>
  <w:num w:numId="11">
    <w:abstractNumId w:val="24"/>
  </w:num>
  <w:num w:numId="12">
    <w:abstractNumId w:val="19"/>
  </w:num>
  <w:num w:numId="13">
    <w:abstractNumId w:val="15"/>
  </w:num>
  <w:num w:numId="14">
    <w:abstractNumId w:val="8"/>
  </w:num>
  <w:num w:numId="15">
    <w:abstractNumId w:val="25"/>
  </w:num>
  <w:num w:numId="16">
    <w:abstractNumId w:val="21"/>
  </w:num>
  <w:num w:numId="17">
    <w:abstractNumId w:val="16"/>
  </w:num>
  <w:num w:numId="18">
    <w:abstractNumId w:val="18"/>
  </w:num>
  <w:num w:numId="19">
    <w:abstractNumId w:val="3"/>
  </w:num>
  <w:num w:numId="20">
    <w:abstractNumId w:val="5"/>
  </w:num>
  <w:num w:numId="21">
    <w:abstractNumId w:val="10"/>
  </w:num>
  <w:num w:numId="22">
    <w:abstractNumId w:val="17"/>
  </w:num>
  <w:num w:numId="23">
    <w:abstractNumId w:val="6"/>
  </w:num>
  <w:num w:numId="24">
    <w:abstractNumId w:val="20"/>
  </w:num>
  <w:num w:numId="25">
    <w:abstractNumId w:val="11"/>
  </w:num>
  <w:num w:numId="26">
    <w:abstractNumId w:val="1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07D0A"/>
    <w:rsid w:val="000C5BF3"/>
    <w:rsid w:val="000F50AF"/>
    <w:rsid w:val="00122877"/>
    <w:rsid w:val="002F0E83"/>
    <w:rsid w:val="0032199C"/>
    <w:rsid w:val="003C13C7"/>
    <w:rsid w:val="00481323"/>
    <w:rsid w:val="0057323B"/>
    <w:rsid w:val="00683FFB"/>
    <w:rsid w:val="008D6649"/>
    <w:rsid w:val="00BB11A0"/>
    <w:rsid w:val="00D438AE"/>
    <w:rsid w:val="00E07D0A"/>
    <w:rsid w:val="00F07A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0A"/>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07D0A"/>
    <w:pPr>
      <w:spacing w:after="0"/>
    </w:pPr>
    <w:rPr>
      <w:sz w:val="20"/>
      <w:szCs w:val="20"/>
    </w:rPr>
  </w:style>
  <w:style w:type="character" w:customStyle="1" w:styleId="NotedebasdepageCar">
    <w:name w:val="Note de bas de page Car"/>
    <w:basedOn w:val="Policepardfaut"/>
    <w:link w:val="Notedebasdepage"/>
    <w:uiPriority w:val="99"/>
    <w:rsid w:val="00E07D0A"/>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E07D0A"/>
    <w:rPr>
      <w:vertAlign w:val="superscript"/>
    </w:rPr>
  </w:style>
  <w:style w:type="paragraph" w:styleId="En-tte">
    <w:name w:val="header"/>
    <w:basedOn w:val="Normal"/>
    <w:link w:val="En-tteCar"/>
    <w:uiPriority w:val="99"/>
    <w:semiHidden/>
    <w:unhideWhenUsed/>
    <w:rsid w:val="00E07D0A"/>
    <w:pPr>
      <w:tabs>
        <w:tab w:val="center" w:pos="4536"/>
        <w:tab w:val="right" w:pos="9072"/>
      </w:tabs>
      <w:spacing w:after="0"/>
    </w:pPr>
  </w:style>
  <w:style w:type="character" w:customStyle="1" w:styleId="En-tteCar">
    <w:name w:val="En-tête Car"/>
    <w:basedOn w:val="Policepardfaut"/>
    <w:link w:val="En-tte"/>
    <w:uiPriority w:val="99"/>
    <w:semiHidden/>
    <w:rsid w:val="00E07D0A"/>
    <w:rPr>
      <w:rFonts w:ascii="Simplified Arabic" w:hAnsi="Simplified Arabic" w:cs="Simplified Arabic"/>
      <w:sz w:val="30"/>
      <w:szCs w:val="30"/>
      <w:lang w:bidi="ar-DZ"/>
    </w:rPr>
  </w:style>
  <w:style w:type="paragraph" w:styleId="Pieddepage">
    <w:name w:val="footer"/>
    <w:basedOn w:val="Normal"/>
    <w:link w:val="PieddepageCar"/>
    <w:uiPriority w:val="99"/>
    <w:unhideWhenUsed/>
    <w:rsid w:val="00E07D0A"/>
    <w:pPr>
      <w:tabs>
        <w:tab w:val="center" w:pos="4536"/>
        <w:tab w:val="right" w:pos="9072"/>
      </w:tabs>
      <w:spacing w:after="0"/>
    </w:pPr>
  </w:style>
  <w:style w:type="character" w:customStyle="1" w:styleId="PieddepageCar">
    <w:name w:val="Pied de page Car"/>
    <w:basedOn w:val="Policepardfaut"/>
    <w:link w:val="Pieddepage"/>
    <w:uiPriority w:val="99"/>
    <w:rsid w:val="00E07D0A"/>
    <w:rPr>
      <w:rFonts w:ascii="Simplified Arabic" w:hAnsi="Simplified Arabic" w:cs="Simplified Arabic"/>
      <w:sz w:val="30"/>
      <w:szCs w:val="30"/>
      <w:lang w:bidi="ar-DZ"/>
    </w:rPr>
  </w:style>
  <w:style w:type="paragraph" w:styleId="Paragraphedeliste">
    <w:name w:val="List Paragraph"/>
    <w:basedOn w:val="Normal"/>
    <w:uiPriority w:val="34"/>
    <w:qFormat/>
    <w:rsid w:val="00E07D0A"/>
    <w:pPr>
      <w:ind w:left="720"/>
      <w:contextualSpacing/>
    </w:pPr>
  </w:style>
  <w:style w:type="table" w:styleId="Grilledutableau">
    <w:name w:val="Table Grid"/>
    <w:basedOn w:val="TableauNormal"/>
    <w:uiPriority w:val="59"/>
    <w:rsid w:val="00E07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1848</Words>
  <Characters>10167</Characters>
  <Application>Microsoft Office Word</Application>
  <DocSecurity>0</DocSecurity>
  <Lines>84</Lines>
  <Paragraphs>23</Paragraphs>
  <ScaleCrop>false</ScaleCrop>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2020-04-29T14:43:00Z</dcterms:created>
  <dcterms:modified xsi:type="dcterms:W3CDTF">2020-05-01T13:45:00Z</dcterms:modified>
</cp:coreProperties>
</file>